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716CD0" w14:textId="4EA796F4" w:rsidR="009C7CEA" w:rsidRPr="0024653A" w:rsidRDefault="009C7CEA" w:rsidP="009C7CEA">
      <w:pPr>
        <w:tabs>
          <w:tab w:val="right" w:pos="9639"/>
        </w:tabs>
        <w:spacing w:after="0"/>
        <w:rPr>
          <w:rFonts w:ascii="Arial" w:hAnsi="Arial" w:cs="Arial"/>
          <w:b/>
          <w:sz w:val="24"/>
          <w:szCs w:val="24"/>
          <w:lang w:eastAsia="ko-KR"/>
        </w:rPr>
      </w:pPr>
      <w:bookmarkStart w:id="0" w:name="_Ref399006623"/>
      <w:bookmarkStart w:id="1" w:name="_Toc92513360"/>
      <w:r w:rsidRPr="0024653A">
        <w:rPr>
          <w:rFonts w:ascii="Arial" w:hAnsi="Arial" w:cs="Arial"/>
          <w:b/>
          <w:sz w:val="24"/>
          <w:szCs w:val="24"/>
        </w:rPr>
        <w:t>3GPP TSG-RAN WG4 Meeting #105</w:t>
      </w:r>
      <w:r w:rsidRPr="0024653A">
        <w:rPr>
          <w:rFonts w:ascii="Arial" w:hAnsi="Arial" w:cs="Arial"/>
          <w:b/>
          <w:sz w:val="24"/>
          <w:szCs w:val="24"/>
        </w:rPr>
        <w:tab/>
        <w:t>R4-221</w:t>
      </w:r>
      <w:r w:rsidR="000D7D10">
        <w:rPr>
          <w:rFonts w:ascii="Arial" w:hAnsi="Arial" w:cs="Arial"/>
          <w:b/>
          <w:sz w:val="24"/>
          <w:szCs w:val="24"/>
        </w:rPr>
        <w:t>9411</w:t>
      </w:r>
      <w:bookmarkStart w:id="2" w:name="_GoBack"/>
      <w:bookmarkEnd w:id="2"/>
    </w:p>
    <w:p w14:paraId="246818B8" w14:textId="77777777" w:rsidR="009C7CEA" w:rsidRPr="00444A16" w:rsidRDefault="009C7CEA" w:rsidP="009C7CEA">
      <w:pPr>
        <w:pStyle w:val="af5"/>
        <w:rPr>
          <w:rFonts w:eastAsia="宋体"/>
          <w:lang w:eastAsia="zh-CN"/>
        </w:rPr>
      </w:pPr>
      <w:r w:rsidRPr="0024653A">
        <w:rPr>
          <w:rFonts w:eastAsia="宋体" w:cs="Arial"/>
          <w:sz w:val="24"/>
          <w:szCs w:val="24"/>
        </w:rPr>
        <w:t>France Toulouse, 14-18 November 2022</w:t>
      </w:r>
      <w:r w:rsidRPr="0024653A">
        <w:rPr>
          <w:rFonts w:eastAsia="宋体" w:cs="Arial"/>
          <w:sz w:val="24"/>
          <w:szCs w:val="24"/>
        </w:rPr>
        <w:tab/>
      </w:r>
    </w:p>
    <w:p w14:paraId="48890450" w14:textId="77777777" w:rsidR="009C7CEA" w:rsidRPr="00631930" w:rsidRDefault="009C7CEA" w:rsidP="009C7CEA">
      <w:pPr>
        <w:pStyle w:val="af5"/>
        <w:rPr>
          <w:rFonts w:eastAsia="宋体"/>
          <w:b w:val="0"/>
          <w:lang w:eastAsia="zh-CN"/>
        </w:rPr>
      </w:pPr>
    </w:p>
    <w:p w14:paraId="4B77571D" w14:textId="77777777" w:rsidR="009C7CEA" w:rsidRPr="00631930" w:rsidRDefault="009C7CEA" w:rsidP="009C7CEA">
      <w:pPr>
        <w:tabs>
          <w:tab w:val="left" w:pos="1985"/>
        </w:tabs>
        <w:rPr>
          <w:rFonts w:ascii="Arial" w:hAnsi="Arial" w:cs="Arial"/>
          <w:sz w:val="22"/>
        </w:rPr>
      </w:pPr>
      <w:r w:rsidRPr="009C7CEA">
        <w:rPr>
          <w:rFonts w:ascii="Arial" w:hAnsi="Arial" w:cs="Arial"/>
          <w:b/>
          <w:sz w:val="22"/>
        </w:rPr>
        <w:t>Source:</w:t>
      </w:r>
      <w:r w:rsidRPr="00631930">
        <w:rPr>
          <w:rFonts w:ascii="Arial" w:hAnsi="Arial" w:cs="Arial"/>
          <w:sz w:val="22"/>
        </w:rPr>
        <w:t xml:space="preserve"> </w:t>
      </w:r>
      <w:r w:rsidRPr="00631930">
        <w:rPr>
          <w:rFonts w:ascii="Arial" w:hAnsi="Arial" w:cs="Arial"/>
          <w:sz w:val="22"/>
        </w:rPr>
        <w:tab/>
        <w:t>Huawei, Hisilicon</w:t>
      </w:r>
    </w:p>
    <w:p w14:paraId="3C55DC83" w14:textId="0A39B910" w:rsidR="009C7CEA" w:rsidRPr="003044DD" w:rsidRDefault="009C7CEA" w:rsidP="009C7CE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Pr="00631930">
        <w:rPr>
          <w:rFonts w:ascii="Arial" w:hAnsi="Arial" w:cs="Arial"/>
          <w:sz w:val="22"/>
        </w:rPr>
        <w:t xml:space="preserve">Discussion on </w:t>
      </w:r>
      <w:r w:rsidR="00A01335">
        <w:rPr>
          <w:rFonts w:ascii="Arial" w:hAnsi="Arial" w:cs="Arial"/>
          <w:sz w:val="22"/>
        </w:rPr>
        <w:t xml:space="preserve">RF impairments for NR </w:t>
      </w:r>
      <w:r w:rsidR="00312F6D">
        <w:rPr>
          <w:rFonts w:ascii="Arial" w:hAnsi="Arial" w:cs="Arial"/>
          <w:sz w:val="22"/>
        </w:rPr>
        <w:t>p</w:t>
      </w:r>
      <w:r>
        <w:rPr>
          <w:rFonts w:ascii="Arial" w:hAnsi="Arial" w:cs="Arial"/>
          <w:sz w:val="22"/>
        </w:rPr>
        <w:t>o</w:t>
      </w:r>
      <w:r w:rsidR="00312F6D">
        <w:rPr>
          <w:rFonts w:ascii="Arial" w:hAnsi="Arial" w:cs="Arial"/>
          <w:sz w:val="22"/>
        </w:rPr>
        <w:t>sitioning</w:t>
      </w:r>
    </w:p>
    <w:p w14:paraId="44F9536C" w14:textId="77777777" w:rsidR="009C7CEA" w:rsidRPr="0022403E" w:rsidRDefault="009C7CEA" w:rsidP="009C7CEA">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312F6D" w:rsidRPr="00312F6D">
        <w:rPr>
          <w:rFonts w:ascii="Arial" w:hAnsi="Arial" w:cs="Arial"/>
          <w:sz w:val="22"/>
        </w:rPr>
        <w:t>8.19.2</w:t>
      </w:r>
    </w:p>
    <w:p w14:paraId="2C023B2A" w14:textId="77777777" w:rsidR="009C7CEA" w:rsidRPr="00A62DA7" w:rsidRDefault="009C7CEA" w:rsidP="009C7CEA">
      <w:pPr>
        <w:tabs>
          <w:tab w:val="left" w:pos="1985"/>
        </w:tabs>
        <w:rPr>
          <w:rFonts w:ascii="Arial" w:hAnsi="Arial" w:cs="Arial"/>
          <w:sz w:val="22"/>
        </w:rPr>
      </w:pPr>
      <w:r w:rsidRPr="007C2D23">
        <w:rPr>
          <w:rFonts w:ascii="Arial" w:hAnsi="Arial" w:cs="Arial"/>
          <w:b/>
          <w:sz w:val="22"/>
        </w:rPr>
        <w:t>Document for:</w:t>
      </w:r>
      <w:r w:rsidRPr="007C2D23">
        <w:rPr>
          <w:rFonts w:ascii="Arial" w:hAnsi="Arial" w:cs="Arial"/>
          <w:sz w:val="22"/>
        </w:rPr>
        <w:tab/>
      </w:r>
      <w:r>
        <w:rPr>
          <w:rFonts w:ascii="Arial" w:hAnsi="Arial" w:cs="Arial"/>
          <w:sz w:val="22"/>
        </w:rPr>
        <w:t>Approval</w:t>
      </w:r>
    </w:p>
    <w:bookmarkEnd w:id="0"/>
    <w:bookmarkEnd w:id="1"/>
    <w:p w14:paraId="6CA4876E" w14:textId="77777777" w:rsidR="005E70E1" w:rsidRDefault="00CA16F6">
      <w:pPr>
        <w:pStyle w:val="Char"/>
        <w:tabs>
          <w:tab w:val="clear" w:pos="1985"/>
          <w:tab w:val="left" w:pos="567"/>
        </w:tabs>
        <w:adjustRightInd w:val="0"/>
        <w:ind w:left="510" w:hanging="510"/>
      </w:pPr>
      <w:r>
        <w:t>Introduction</w:t>
      </w:r>
    </w:p>
    <w:p w14:paraId="7EEC8A9B" w14:textId="77777777" w:rsidR="00027D4B" w:rsidRDefault="00027D4B" w:rsidP="00027D4B">
      <w:r w:rsidRPr="00DD04C8">
        <w:t>RAN4#104e</w:t>
      </w:r>
      <w:r>
        <w:t xml:space="preserve"> and RAN4#104bis-e meeting have</w:t>
      </w:r>
      <w:r w:rsidRPr="00DD04C8">
        <w:t xml:space="preserve"> discussed</w:t>
      </w:r>
      <w:r>
        <w:t xml:space="preserve"> </w:t>
      </w:r>
      <w:r w:rsidR="00B47D51" w:rsidRPr="00B47D51">
        <w:t xml:space="preserve">PRS/SRS </w:t>
      </w:r>
      <w:r>
        <w:t xml:space="preserve">bandwidth aggregation for </w:t>
      </w:r>
      <w:r w:rsidR="00F85DF7">
        <w:t xml:space="preserve">improved NR </w:t>
      </w:r>
      <w:r>
        <w:t>positioning</w:t>
      </w:r>
      <w:r w:rsidRPr="00DD04C8">
        <w:t xml:space="preserve"> </w:t>
      </w:r>
      <w:r w:rsidR="00F85DF7">
        <w:t xml:space="preserve">in </w:t>
      </w:r>
      <w:r>
        <w:t xml:space="preserve">[1]. The </w:t>
      </w:r>
      <w:r w:rsidR="00F85DF7">
        <w:t xml:space="preserve">agreements are listed </w:t>
      </w:r>
      <w:r w:rsidR="00CC056A">
        <w:rPr>
          <w:rFonts w:hint="eastAsia"/>
        </w:rPr>
        <w:t>as</w:t>
      </w:r>
      <w:r w:rsidR="00CC056A">
        <w:t xml:space="preserve"> </w:t>
      </w:r>
      <w:r w:rsidR="00F85DF7">
        <w:t>follows</w:t>
      </w:r>
      <w:r>
        <w:t>.</w:t>
      </w:r>
    </w:p>
    <w:tbl>
      <w:tblPr>
        <w:tblStyle w:val="ad"/>
        <w:tblW w:w="0" w:type="auto"/>
        <w:tblLook w:val="04A0" w:firstRow="1" w:lastRow="0" w:firstColumn="1" w:lastColumn="0" w:noHBand="0" w:noVBand="1"/>
      </w:tblPr>
      <w:tblGrid>
        <w:gridCol w:w="9736"/>
      </w:tblGrid>
      <w:tr w:rsidR="00300E2B" w:rsidRPr="00C277AD" w14:paraId="1208AAEA" w14:textId="77777777" w:rsidTr="00300E2B">
        <w:tc>
          <w:tcPr>
            <w:tcW w:w="9736" w:type="dxa"/>
          </w:tcPr>
          <w:p w14:paraId="538E620E" w14:textId="77777777" w:rsidR="00300E2B" w:rsidRPr="00D40003" w:rsidRDefault="00300E2B" w:rsidP="00300E2B">
            <w:pPr>
              <w:rPr>
                <w:b/>
                <w:bCs/>
                <w:i/>
                <w:u w:val="single"/>
              </w:rPr>
            </w:pPr>
            <w:r w:rsidRPr="00D40003">
              <w:rPr>
                <w:b/>
                <w:bCs/>
                <w:i/>
                <w:u w:val="single"/>
              </w:rPr>
              <w:t># RF architecture</w:t>
            </w:r>
          </w:p>
          <w:p w14:paraId="185495C5" w14:textId="77777777" w:rsidR="00300E2B" w:rsidRPr="00D40003" w:rsidRDefault="00300E2B" w:rsidP="00300E2B">
            <w:pPr>
              <w:spacing w:afterLines="50" w:after="156"/>
              <w:rPr>
                <w:b/>
                <w:i/>
              </w:rPr>
            </w:pPr>
            <w:r w:rsidRPr="00D40003">
              <w:rPr>
                <w:b/>
                <w:i/>
                <w:iCs/>
              </w:rPr>
              <w:t>Agreement</w:t>
            </w:r>
            <w:r w:rsidRPr="00D40003">
              <w:rPr>
                <w:b/>
                <w:i/>
              </w:rPr>
              <w:t>:</w:t>
            </w:r>
          </w:p>
          <w:p w14:paraId="00026283" w14:textId="77777777" w:rsidR="00300E2B" w:rsidRPr="00D40003" w:rsidRDefault="00300E2B" w:rsidP="00300E2B">
            <w:pPr>
              <w:pStyle w:val="af2"/>
              <w:widowControl/>
              <w:numPr>
                <w:ilvl w:val="0"/>
                <w:numId w:val="3"/>
              </w:numPr>
              <w:snapToGrid w:val="0"/>
              <w:spacing w:after="120" w:line="240" w:lineRule="auto"/>
              <w:ind w:firstLineChars="0"/>
              <w:jc w:val="left"/>
              <w:rPr>
                <w:i/>
              </w:rPr>
            </w:pPr>
            <w:r w:rsidRPr="00D40003">
              <w:rPr>
                <w:i/>
              </w:rPr>
              <w:t>Prioritize the single RF chain (Tx/Rx) for BS and UE in the study.</w:t>
            </w:r>
          </w:p>
          <w:p w14:paraId="7689FB0D" w14:textId="77777777" w:rsidR="00300E2B" w:rsidRPr="00D40003" w:rsidRDefault="00300E2B" w:rsidP="00300E2B">
            <w:pPr>
              <w:rPr>
                <w:b/>
                <w:bCs/>
                <w:i/>
                <w:u w:val="single"/>
              </w:rPr>
            </w:pPr>
            <w:r w:rsidRPr="00D40003">
              <w:rPr>
                <w:b/>
                <w:bCs/>
                <w:i/>
                <w:u w:val="single"/>
              </w:rPr>
              <w:t># PRS/SRS bandwidth aggregation scenario</w:t>
            </w:r>
          </w:p>
          <w:p w14:paraId="26711C29" w14:textId="77777777" w:rsidR="00300E2B" w:rsidRPr="00D40003" w:rsidRDefault="00300E2B" w:rsidP="00300E2B">
            <w:pPr>
              <w:spacing w:afterLines="50" w:after="156"/>
              <w:rPr>
                <w:b/>
                <w:i/>
              </w:rPr>
            </w:pPr>
            <w:r w:rsidRPr="00D40003">
              <w:rPr>
                <w:b/>
                <w:i/>
              </w:rPr>
              <w:t>Agreements:</w:t>
            </w:r>
          </w:p>
          <w:p w14:paraId="5C520AAA" w14:textId="77777777" w:rsidR="00300E2B" w:rsidRPr="00D40003" w:rsidRDefault="00300E2B" w:rsidP="00300E2B">
            <w:pPr>
              <w:pStyle w:val="af2"/>
              <w:widowControl/>
              <w:numPr>
                <w:ilvl w:val="0"/>
                <w:numId w:val="3"/>
              </w:numPr>
              <w:snapToGrid w:val="0"/>
              <w:spacing w:after="120"/>
              <w:ind w:firstLineChars="0"/>
              <w:rPr>
                <w:i/>
              </w:rPr>
            </w:pPr>
            <w:r w:rsidRPr="00D40003">
              <w:rPr>
                <w:i/>
              </w:rPr>
              <w:t xml:space="preserve">Prioritize </w:t>
            </w:r>
            <w:r w:rsidRPr="00D40003">
              <w:rPr>
                <w:i/>
                <w:highlight w:val="yellow"/>
              </w:rPr>
              <w:t>intra-band contiguous CA</w:t>
            </w:r>
            <w:r w:rsidRPr="00D40003">
              <w:rPr>
                <w:i/>
              </w:rPr>
              <w:t xml:space="preserve"> with simultaneous PRS/SRS transmission for the RF and RRM impacts study.</w:t>
            </w:r>
          </w:p>
          <w:p w14:paraId="526FF752" w14:textId="77777777" w:rsidR="00300E2B" w:rsidRPr="00D40003" w:rsidRDefault="00300E2B" w:rsidP="00300E2B">
            <w:pPr>
              <w:pStyle w:val="af2"/>
              <w:widowControl/>
              <w:numPr>
                <w:ilvl w:val="0"/>
                <w:numId w:val="3"/>
              </w:numPr>
              <w:snapToGrid w:val="0"/>
              <w:spacing w:after="120"/>
              <w:ind w:firstLineChars="0"/>
              <w:rPr>
                <w:i/>
              </w:rPr>
            </w:pPr>
            <w:r w:rsidRPr="00D40003">
              <w:rPr>
                <w:i/>
              </w:rPr>
              <w:t>CA configurations with 2, 3 and 4 CCs should be investigated and the configuration with 2 CCs should be prioritized over 3 and 4 CCs.</w:t>
            </w:r>
          </w:p>
          <w:p w14:paraId="2C6FDD48" w14:textId="77777777" w:rsidR="00300E2B" w:rsidRPr="00D40003" w:rsidRDefault="00300E2B" w:rsidP="00300E2B">
            <w:pPr>
              <w:pStyle w:val="af2"/>
              <w:widowControl/>
              <w:numPr>
                <w:ilvl w:val="0"/>
                <w:numId w:val="3"/>
              </w:numPr>
              <w:snapToGrid w:val="0"/>
              <w:spacing w:after="120"/>
              <w:ind w:firstLineChars="0"/>
              <w:rPr>
                <w:i/>
              </w:rPr>
            </w:pPr>
            <w:bookmarkStart w:id="3" w:name="_Hlk116656930"/>
            <w:r w:rsidRPr="00D40003">
              <w:rPr>
                <w:i/>
              </w:rPr>
              <w:t>The TAE and group delay need be studied. In addition, phase noise needs be studied for FR2</w:t>
            </w:r>
            <w:bookmarkEnd w:id="3"/>
            <w:r w:rsidRPr="00D40003">
              <w:rPr>
                <w:i/>
              </w:rPr>
              <w:t>.</w:t>
            </w:r>
          </w:p>
          <w:p w14:paraId="5A88DA7D" w14:textId="77777777" w:rsidR="00300E2B" w:rsidRPr="00D40003" w:rsidRDefault="00300E2B" w:rsidP="00300E2B">
            <w:pPr>
              <w:rPr>
                <w:b/>
                <w:bCs/>
                <w:i/>
                <w:u w:val="single"/>
              </w:rPr>
            </w:pPr>
            <w:r w:rsidRPr="00D40003">
              <w:rPr>
                <w:b/>
                <w:bCs/>
                <w:i/>
                <w:u w:val="single"/>
              </w:rPr>
              <w:t># RF impairment model and assessment</w:t>
            </w:r>
          </w:p>
          <w:p w14:paraId="4F32C440" w14:textId="77777777" w:rsidR="00300E2B" w:rsidRPr="00D40003" w:rsidRDefault="00300E2B" w:rsidP="00300E2B">
            <w:pPr>
              <w:snapToGrid w:val="0"/>
              <w:spacing w:after="120"/>
              <w:rPr>
                <w:b/>
                <w:i/>
              </w:rPr>
            </w:pPr>
            <w:r w:rsidRPr="00D40003">
              <w:rPr>
                <w:b/>
                <w:i/>
              </w:rPr>
              <w:t>Agreement:</w:t>
            </w:r>
          </w:p>
          <w:p w14:paraId="699FB918" w14:textId="77777777" w:rsidR="00300E2B" w:rsidRPr="00D40003" w:rsidRDefault="00300E2B" w:rsidP="00300E2B">
            <w:pPr>
              <w:pStyle w:val="af2"/>
              <w:widowControl/>
              <w:numPr>
                <w:ilvl w:val="0"/>
                <w:numId w:val="3"/>
              </w:numPr>
              <w:snapToGrid w:val="0"/>
              <w:spacing w:after="120"/>
              <w:ind w:firstLineChars="0"/>
              <w:rPr>
                <w:i/>
              </w:rPr>
            </w:pPr>
            <w:r w:rsidRPr="00D40003">
              <w:rPr>
                <w:i/>
              </w:rPr>
              <w:t xml:space="preserve">RAN4 to evaluate the impact of </w:t>
            </w:r>
            <w:r w:rsidRPr="00D40003">
              <w:rPr>
                <w:i/>
                <w:highlight w:val="yellow"/>
              </w:rPr>
              <w:t>group delay</w:t>
            </w:r>
            <w:r w:rsidRPr="00D40003">
              <w:rPr>
                <w:i/>
              </w:rPr>
              <w:t xml:space="preserve"> on the performance of PRS/SRS aggregation covering PRS/SRS resources with both same PRS bandwidth and different bandwidths</w:t>
            </w:r>
          </w:p>
          <w:p w14:paraId="2F8CB280" w14:textId="77777777" w:rsidR="00300E2B" w:rsidRPr="00D40003" w:rsidRDefault="00300E2B" w:rsidP="00300E2B">
            <w:pPr>
              <w:snapToGrid w:val="0"/>
              <w:spacing w:after="120"/>
              <w:rPr>
                <w:b/>
                <w:i/>
              </w:rPr>
            </w:pPr>
            <w:r w:rsidRPr="00D40003">
              <w:rPr>
                <w:b/>
                <w:i/>
              </w:rPr>
              <w:t>Agreement:</w:t>
            </w:r>
          </w:p>
          <w:p w14:paraId="43A897BD" w14:textId="77777777" w:rsidR="00300E2B" w:rsidRPr="00D40003" w:rsidRDefault="00300E2B" w:rsidP="00300E2B">
            <w:pPr>
              <w:pStyle w:val="af2"/>
              <w:widowControl/>
              <w:numPr>
                <w:ilvl w:val="0"/>
                <w:numId w:val="3"/>
              </w:numPr>
              <w:snapToGrid w:val="0"/>
              <w:spacing w:after="120"/>
              <w:ind w:firstLineChars="0"/>
              <w:rPr>
                <w:i/>
              </w:rPr>
            </w:pPr>
            <w:r w:rsidRPr="00D40003">
              <w:rPr>
                <w:i/>
              </w:rPr>
              <w:t>Studying TAE for single RF chain architecture</w:t>
            </w:r>
          </w:p>
          <w:p w14:paraId="35D21330" w14:textId="77777777" w:rsidR="00300E2B" w:rsidRPr="00D40003" w:rsidRDefault="00300E2B" w:rsidP="00300E2B">
            <w:pPr>
              <w:pStyle w:val="af2"/>
              <w:widowControl/>
              <w:numPr>
                <w:ilvl w:val="1"/>
                <w:numId w:val="3"/>
              </w:numPr>
              <w:snapToGrid w:val="0"/>
              <w:spacing w:after="120"/>
              <w:ind w:firstLineChars="0"/>
              <w:jc w:val="left"/>
              <w:rPr>
                <w:i/>
              </w:rPr>
            </w:pPr>
            <w:r w:rsidRPr="00D40003">
              <w:rPr>
                <w:i/>
              </w:rPr>
              <w:t xml:space="preserve">For single RF chain architecture, </w:t>
            </w:r>
            <w:r w:rsidRPr="00D40003">
              <w:rPr>
                <w:i/>
                <w:highlight w:val="yellow"/>
              </w:rPr>
              <w:t>TAE</w:t>
            </w:r>
            <w:r w:rsidRPr="00D40003">
              <w:rPr>
                <w:i/>
              </w:rPr>
              <w:t xml:space="preserve"> between PFLs/carriers transmitted from different antennas is FFS</w:t>
            </w:r>
          </w:p>
          <w:p w14:paraId="5736F6FF" w14:textId="77777777" w:rsidR="00300E2B" w:rsidRPr="00D40003" w:rsidRDefault="00300E2B" w:rsidP="00300E2B">
            <w:pPr>
              <w:rPr>
                <w:b/>
                <w:bCs/>
                <w:i/>
                <w:u w:val="single"/>
              </w:rPr>
            </w:pPr>
            <w:r w:rsidRPr="00D40003">
              <w:rPr>
                <w:b/>
                <w:bCs/>
                <w:i/>
                <w:u w:val="single"/>
              </w:rPr>
              <w:t># Baseline assumption for FFT processing</w:t>
            </w:r>
          </w:p>
          <w:p w14:paraId="72AE7751" w14:textId="77777777" w:rsidR="00300E2B" w:rsidRPr="00D40003" w:rsidRDefault="00300E2B" w:rsidP="00300E2B">
            <w:pPr>
              <w:widowControl/>
              <w:snapToGrid w:val="0"/>
              <w:spacing w:after="120"/>
              <w:rPr>
                <w:i/>
              </w:rPr>
            </w:pPr>
            <w:r w:rsidRPr="00D40003">
              <w:rPr>
                <w:b/>
                <w:i/>
              </w:rPr>
              <w:t>Agreement</w:t>
            </w:r>
            <w:r w:rsidRPr="00D40003">
              <w:rPr>
                <w:i/>
              </w:rPr>
              <w:t>:</w:t>
            </w:r>
          </w:p>
          <w:p w14:paraId="2A2440BC" w14:textId="77777777" w:rsidR="00300E2B" w:rsidRPr="00D40003" w:rsidRDefault="00300E2B" w:rsidP="00300E2B">
            <w:pPr>
              <w:pStyle w:val="af2"/>
              <w:widowControl/>
              <w:numPr>
                <w:ilvl w:val="0"/>
                <w:numId w:val="3"/>
              </w:numPr>
              <w:snapToGrid w:val="0"/>
              <w:spacing w:after="120"/>
              <w:ind w:firstLineChars="0"/>
              <w:rPr>
                <w:i/>
              </w:rPr>
            </w:pPr>
            <w:r w:rsidRPr="00D40003">
              <w:rPr>
                <w:i/>
              </w:rPr>
              <w:t>The FFT assumption should be discussed in RRM part.</w:t>
            </w:r>
          </w:p>
          <w:p w14:paraId="4BD42BC3" w14:textId="77777777" w:rsidR="00300E2B" w:rsidRPr="00D40003" w:rsidRDefault="00300E2B" w:rsidP="00300E2B">
            <w:pPr>
              <w:rPr>
                <w:b/>
                <w:bCs/>
                <w:i/>
                <w:u w:val="single"/>
              </w:rPr>
            </w:pPr>
            <w:r w:rsidRPr="00D40003">
              <w:rPr>
                <w:b/>
                <w:bCs/>
                <w:i/>
                <w:u w:val="single"/>
              </w:rPr>
              <w:t># Notifying RAN1 of UE transmit power limitation</w:t>
            </w:r>
          </w:p>
          <w:p w14:paraId="259FABE9" w14:textId="77777777" w:rsidR="00300E2B" w:rsidRPr="00D40003" w:rsidRDefault="00300E2B" w:rsidP="00300E2B">
            <w:pPr>
              <w:snapToGrid w:val="0"/>
              <w:spacing w:after="0"/>
              <w:rPr>
                <w:b/>
                <w:i/>
              </w:rPr>
            </w:pPr>
            <w:r w:rsidRPr="00D40003">
              <w:rPr>
                <w:b/>
                <w:i/>
              </w:rPr>
              <w:t>Agreement:</w:t>
            </w:r>
          </w:p>
          <w:p w14:paraId="7992DBD6" w14:textId="77777777" w:rsidR="00300E2B" w:rsidRPr="00D40003" w:rsidRDefault="00300E2B" w:rsidP="00300E2B">
            <w:pPr>
              <w:widowControl/>
              <w:snapToGrid w:val="0"/>
              <w:spacing w:after="0"/>
              <w:jc w:val="left"/>
              <w:rPr>
                <w:i/>
              </w:rPr>
            </w:pPr>
            <w:r w:rsidRPr="00D40003">
              <w:rPr>
                <w:i/>
              </w:rPr>
              <w:lastRenderedPageBreak/>
              <w:t>Notifying RAN1 on UE transmit power limitation due to prioritization of PCell over SCell is not needed at this point in time.</w:t>
            </w:r>
          </w:p>
        </w:tc>
      </w:tr>
    </w:tbl>
    <w:p w14:paraId="71918462" w14:textId="77777777" w:rsidR="00B47D51" w:rsidRDefault="00B47D51" w:rsidP="00300E2B">
      <w:pPr>
        <w:widowControl/>
        <w:snapToGrid w:val="0"/>
        <w:spacing w:after="0"/>
        <w:jc w:val="left"/>
      </w:pPr>
    </w:p>
    <w:p w14:paraId="76909856" w14:textId="77777777" w:rsidR="00A01335" w:rsidRDefault="00A01335" w:rsidP="00300E2B">
      <w:pPr>
        <w:widowControl/>
        <w:snapToGrid w:val="0"/>
        <w:spacing w:after="0"/>
        <w:jc w:val="left"/>
      </w:pPr>
      <w:r>
        <w:rPr>
          <w:rFonts w:hint="eastAsia"/>
        </w:rPr>
        <w:t>R</w:t>
      </w:r>
      <w:r>
        <w:t>F impairments have been discussed a lot in last meeting, this contribution is focusing on FR1, especially for the impairments on group delay and TAE.</w:t>
      </w:r>
    </w:p>
    <w:p w14:paraId="24311B72" w14:textId="77777777" w:rsidR="00BF48E7" w:rsidRDefault="00260D6F" w:rsidP="00FB38F0">
      <w:pPr>
        <w:pStyle w:val="Char"/>
        <w:tabs>
          <w:tab w:val="clear" w:pos="1985"/>
          <w:tab w:val="left" w:pos="709"/>
        </w:tabs>
        <w:ind w:left="0"/>
      </w:pPr>
      <w:bookmarkStart w:id="4" w:name="OLE_LINK14"/>
      <w:bookmarkStart w:id="5" w:name="OLE_LINK20"/>
      <w:bookmarkStart w:id="6" w:name="OLE_LINK13"/>
      <w:bookmarkStart w:id="7" w:name="OLE_LINK10"/>
      <w:r>
        <w:t>Discussion on</w:t>
      </w:r>
      <w:r w:rsidR="00FB38F0">
        <w:t xml:space="preserve"> the impact of</w:t>
      </w:r>
      <w:r w:rsidR="00FB38F0" w:rsidRPr="00FB38F0">
        <w:t xml:space="preserve"> </w:t>
      </w:r>
      <w:r w:rsidRPr="00FB38F0">
        <w:t>group delay</w:t>
      </w:r>
      <w:r>
        <w:t xml:space="preserve"> </w:t>
      </w:r>
      <w:r w:rsidR="00FB38F0">
        <w:t xml:space="preserve">and </w:t>
      </w:r>
      <w:r>
        <w:t>TAE</w:t>
      </w:r>
      <w:r w:rsidRPr="00FB38F0">
        <w:t xml:space="preserve"> </w:t>
      </w:r>
    </w:p>
    <w:p w14:paraId="0AF6B62A" w14:textId="0213F843" w:rsidR="005E70E1" w:rsidRDefault="00FB38F0" w:rsidP="00423420">
      <w:pPr>
        <w:snapToGrid w:val="0"/>
        <w:spacing w:after="120"/>
      </w:pPr>
      <w:r w:rsidRPr="00FB38F0">
        <w:t xml:space="preserve">As agreed in the last meeting, </w:t>
      </w:r>
      <w:r w:rsidR="00FF4EC8">
        <w:t>TAE and group delay need to be studied</w:t>
      </w:r>
      <w:r w:rsidR="00CA16F6">
        <w:rPr>
          <w:rFonts w:hint="eastAsia"/>
        </w:rPr>
        <w:t xml:space="preserve">. </w:t>
      </w:r>
    </w:p>
    <w:p w14:paraId="35B72341" w14:textId="7B143E71" w:rsidR="00A01335" w:rsidRDefault="000A0187" w:rsidP="00423420">
      <w:pPr>
        <w:snapToGrid w:val="0"/>
        <w:spacing w:after="120"/>
      </w:pPr>
      <w:r>
        <w:rPr>
          <w:rFonts w:hint="eastAsia"/>
        </w:rPr>
        <w:t>T</w:t>
      </w:r>
      <w:r>
        <w:t xml:space="preserve">he </w:t>
      </w:r>
      <w:r w:rsidR="00354EB5">
        <w:t xml:space="preserve">BS TAE requirements for </w:t>
      </w:r>
      <w:r w:rsidR="00C73E1A">
        <w:t xml:space="preserve">type </w:t>
      </w:r>
      <w:r w:rsidR="00354EB5">
        <w:t>1-C and 1-H are cited as below:</w:t>
      </w:r>
    </w:p>
    <w:p w14:paraId="4DD03EB8" w14:textId="77777777" w:rsidR="008A4367" w:rsidRPr="008A4367" w:rsidRDefault="008A4367" w:rsidP="008729B2">
      <w:pPr>
        <w:spacing w:after="0"/>
        <w:ind w:leftChars="100" w:left="210"/>
        <w:rPr>
          <w:i/>
        </w:rPr>
      </w:pPr>
      <w:r w:rsidRPr="008A4367">
        <w:rPr>
          <w:i/>
        </w:rPr>
        <w:t>For MIMO transmission, at each carrier frequency, TAE shall not exceed 65 ns.</w:t>
      </w:r>
    </w:p>
    <w:p w14:paraId="4902E4F8" w14:textId="77777777" w:rsidR="008A4367" w:rsidRPr="008A4367" w:rsidRDefault="008A4367" w:rsidP="008729B2">
      <w:pPr>
        <w:spacing w:after="0"/>
        <w:ind w:leftChars="100" w:left="210"/>
        <w:rPr>
          <w:i/>
        </w:rPr>
      </w:pPr>
      <w:r w:rsidRPr="008A4367">
        <w:rPr>
          <w:i/>
        </w:rPr>
        <w:t>For intra-band contiguous carrier aggregation, with or without MIMO, TAE shall not exceed 260ns.</w:t>
      </w:r>
    </w:p>
    <w:p w14:paraId="0F16ECEA" w14:textId="77777777" w:rsidR="008A4367" w:rsidRPr="008A4367" w:rsidRDefault="008A4367" w:rsidP="008729B2">
      <w:pPr>
        <w:spacing w:after="0"/>
        <w:ind w:leftChars="100" w:left="210"/>
        <w:rPr>
          <w:i/>
        </w:rPr>
      </w:pPr>
      <w:r w:rsidRPr="008A4367">
        <w:rPr>
          <w:i/>
        </w:rPr>
        <w:t>For intra-band non-contiguous carrier aggregation, with or without MIMO, TAE shall not exceed 3</w:t>
      </w:r>
      <w:bookmarkStart w:id="8" w:name="OLE_LINK264"/>
      <w:bookmarkStart w:id="9" w:name="OLE_LINK265"/>
      <w:r w:rsidRPr="008A4367">
        <w:rPr>
          <w:rFonts w:cs="Arial"/>
          <w:i/>
        </w:rPr>
        <w:t>µs</w:t>
      </w:r>
      <w:bookmarkEnd w:id="8"/>
      <w:bookmarkEnd w:id="9"/>
      <w:r w:rsidRPr="008A4367">
        <w:rPr>
          <w:i/>
        </w:rPr>
        <w:t>.</w:t>
      </w:r>
    </w:p>
    <w:p w14:paraId="7D8B9948" w14:textId="77777777" w:rsidR="008A4367" w:rsidRPr="008A4367" w:rsidRDefault="008A4367" w:rsidP="008729B2">
      <w:pPr>
        <w:ind w:leftChars="100" w:left="210"/>
        <w:rPr>
          <w:i/>
        </w:rPr>
      </w:pPr>
      <w:r w:rsidRPr="008A4367">
        <w:rPr>
          <w:i/>
        </w:rPr>
        <w:t>For inter-band carrier aggregation, with or without MIMO, TAE shall not exceed 3</w:t>
      </w:r>
      <w:r w:rsidRPr="008A4367">
        <w:rPr>
          <w:rFonts w:cs="Arial"/>
          <w:i/>
        </w:rPr>
        <w:t>µs</w:t>
      </w:r>
      <w:r w:rsidRPr="008A4367">
        <w:rPr>
          <w:i/>
        </w:rPr>
        <w:t>.</w:t>
      </w:r>
    </w:p>
    <w:p w14:paraId="6F845BE9" w14:textId="77777777" w:rsidR="008A4367" w:rsidRDefault="00354EB5" w:rsidP="00423420">
      <w:pPr>
        <w:snapToGrid w:val="0"/>
        <w:spacing w:after="120"/>
      </w:pPr>
      <w:r>
        <w:rPr>
          <w:rFonts w:hint="eastAsia"/>
        </w:rPr>
        <w:t>A</w:t>
      </w:r>
      <w:r>
        <w:t xml:space="preserve">ccording to RAN1 evaluation, it is </w:t>
      </w:r>
      <w:r w:rsidR="006F2C58">
        <w:t>understandable</w:t>
      </w:r>
      <w:r>
        <w:t xml:space="preserve"> that larger time alignment error between two contiguous CCs would result </w:t>
      </w:r>
      <w:r w:rsidR="006F2C58">
        <w:t xml:space="preserve">in </w:t>
      </w:r>
      <w:r>
        <w:t xml:space="preserve">worse positioning accuracy. In last RAN4 meeting, it was discussed whether group delay is the main contributor to TAE. </w:t>
      </w:r>
      <w:r w:rsidR="006F2C58">
        <w:t>However, i</w:t>
      </w:r>
      <w:r>
        <w:t xml:space="preserve">n our view, group delay is not identical to TAE, and the impact </w:t>
      </w:r>
      <w:r w:rsidR="006F2C58">
        <w:t>on</w:t>
      </w:r>
      <w:r>
        <w:t xml:space="preserve"> the positioning are not identical as well. </w:t>
      </w:r>
    </w:p>
    <w:p w14:paraId="43C6E41E" w14:textId="2CAEF474" w:rsidR="006F2C58" w:rsidRPr="008A4367" w:rsidRDefault="006F2C58" w:rsidP="00423420">
      <w:pPr>
        <w:snapToGrid w:val="0"/>
        <w:spacing w:after="120"/>
      </w:pPr>
      <w:r>
        <w:t xml:space="preserve">TAE is rooted from both analog part and digital part. For analog circuit, even the typical implementation is one single chain to support the contiguous CA, the linear distortion of RF components, e.g. filter, PA, could be different across the frequency range of the large aggregated channel BW. </w:t>
      </w:r>
      <w:r w:rsidR="004D4334">
        <w:t xml:space="preserve">While for the digital part, timing alignment is dependent on the </w:t>
      </w:r>
      <w:r w:rsidR="00066D15">
        <w:t xml:space="preserve">digital </w:t>
      </w:r>
      <w:r w:rsidR="004D4334">
        <w:t xml:space="preserve">channel calibration. </w:t>
      </w:r>
    </w:p>
    <w:p w14:paraId="402A3115" w14:textId="77777777" w:rsidR="006F2C58" w:rsidRDefault="006F2C58" w:rsidP="00750C06">
      <w:pPr>
        <w:snapToGrid w:val="0"/>
        <w:spacing w:after="120"/>
      </w:pPr>
      <w:r>
        <w:t xml:space="preserve">Group delay is one of the key characteristics of the filter. </w:t>
      </w:r>
      <w:r>
        <w:rPr>
          <w:rFonts w:hint="eastAsia"/>
        </w:rPr>
        <w:t>I</w:t>
      </w:r>
      <w:r>
        <w:t xml:space="preserve">t is known that sharper out-of-band rejection of the band filter would cause larger group delay. </w:t>
      </w:r>
      <w:r w:rsidR="00750C06">
        <w:t xml:space="preserve">The phase status could change dramatically at the band edge of a filter, especially if there </w:t>
      </w:r>
      <w:r w:rsidR="006B34B8">
        <w:t>are</w:t>
      </w:r>
      <w:r w:rsidR="00750C06">
        <w:t xml:space="preserve"> zero</w:t>
      </w:r>
      <w:r w:rsidR="006B34B8">
        <w:t>s</w:t>
      </w:r>
      <w:r w:rsidR="00750C06">
        <w:t xml:space="preserve"> close to the pass band. Figure </w:t>
      </w:r>
      <w:r w:rsidR="002B290F">
        <w:t>1 shows the frequency response of a C-band filter which can support 100MHz+100MHz aggregated channel BW. It is noticed that the zero is far from the pass band.</w:t>
      </w:r>
    </w:p>
    <w:p w14:paraId="2DA9D8D5" w14:textId="77777777" w:rsidR="002B290F" w:rsidRDefault="002B290F" w:rsidP="002B290F">
      <w:pPr>
        <w:snapToGrid w:val="0"/>
        <w:spacing w:after="120"/>
        <w:jc w:val="center"/>
      </w:pPr>
      <w:r w:rsidRPr="002B290F">
        <w:rPr>
          <w:noProof/>
        </w:rPr>
        <w:drawing>
          <wp:inline distT="0" distB="0" distL="0" distR="0" wp14:anchorId="6DB83A58" wp14:editId="4FA336C8">
            <wp:extent cx="3240000" cy="24228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40000" cy="2422800"/>
                    </a:xfrm>
                    <a:prstGeom prst="rect">
                      <a:avLst/>
                    </a:prstGeom>
                    <a:noFill/>
                    <a:ln>
                      <a:noFill/>
                    </a:ln>
                  </pic:spPr>
                </pic:pic>
              </a:graphicData>
            </a:graphic>
          </wp:inline>
        </w:drawing>
      </w:r>
    </w:p>
    <w:p w14:paraId="67F033ED" w14:textId="77777777" w:rsidR="002B290F" w:rsidRPr="002B290F" w:rsidRDefault="002B290F" w:rsidP="002B290F">
      <w:pPr>
        <w:snapToGrid w:val="0"/>
        <w:spacing w:after="120"/>
        <w:jc w:val="center"/>
        <w:rPr>
          <w:rFonts w:ascii="Arial" w:hAnsi="Arial" w:cs="Arial"/>
          <w:b/>
        </w:rPr>
      </w:pPr>
      <w:r w:rsidRPr="002B290F">
        <w:rPr>
          <w:rFonts w:ascii="Arial" w:hAnsi="Arial" w:cs="Arial"/>
          <w:b/>
          <w:sz w:val="18"/>
        </w:rPr>
        <w:t>Figure 1</w:t>
      </w:r>
      <w:r w:rsidR="00DC7723">
        <w:rPr>
          <w:rFonts w:ascii="Arial" w:hAnsi="Arial" w:cs="Arial"/>
          <w:b/>
          <w:sz w:val="18"/>
        </w:rPr>
        <w:t>:</w:t>
      </w:r>
      <w:r w:rsidRPr="002B290F">
        <w:rPr>
          <w:rFonts w:ascii="Arial" w:hAnsi="Arial" w:cs="Arial"/>
          <w:b/>
          <w:sz w:val="18"/>
        </w:rPr>
        <w:t xml:space="preserve"> </w:t>
      </w:r>
      <w:r w:rsidR="00DC7723">
        <w:rPr>
          <w:rFonts w:ascii="Arial" w:hAnsi="Arial" w:cs="Arial"/>
          <w:b/>
          <w:sz w:val="18"/>
        </w:rPr>
        <w:t>S21 parameter of a</w:t>
      </w:r>
      <w:r>
        <w:rPr>
          <w:rFonts w:ascii="Arial" w:hAnsi="Arial" w:cs="Arial"/>
          <w:b/>
          <w:sz w:val="18"/>
        </w:rPr>
        <w:t xml:space="preserve"> C-band filter</w:t>
      </w:r>
    </w:p>
    <w:p w14:paraId="0504EF0E" w14:textId="4472EF69" w:rsidR="002B290F" w:rsidRDefault="002B290F" w:rsidP="002B290F">
      <w:pPr>
        <w:snapToGrid w:val="0"/>
        <w:spacing w:after="120"/>
        <w:jc w:val="left"/>
      </w:pPr>
      <w:r>
        <w:t xml:space="preserve">The corresponding group delay characteristic of </w:t>
      </w:r>
      <w:r w:rsidR="00066D15">
        <w:t xml:space="preserve">the </w:t>
      </w:r>
      <w:r>
        <w:t>C-band filter is illustrated in Figure 2.</w:t>
      </w:r>
    </w:p>
    <w:p w14:paraId="2953AB67" w14:textId="77777777" w:rsidR="002B290F" w:rsidRDefault="002B290F" w:rsidP="002B290F">
      <w:pPr>
        <w:snapToGrid w:val="0"/>
        <w:spacing w:after="120"/>
        <w:jc w:val="center"/>
      </w:pPr>
      <w:r w:rsidRPr="002B290F">
        <w:rPr>
          <w:rFonts w:hint="eastAsia"/>
          <w:noProof/>
        </w:rPr>
        <w:lastRenderedPageBreak/>
        <w:drawing>
          <wp:inline distT="0" distB="0" distL="0" distR="0" wp14:anchorId="43797764" wp14:editId="25E5FDEA">
            <wp:extent cx="3240000" cy="24228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40000" cy="2422800"/>
                    </a:xfrm>
                    <a:prstGeom prst="rect">
                      <a:avLst/>
                    </a:prstGeom>
                    <a:noFill/>
                    <a:ln>
                      <a:noFill/>
                    </a:ln>
                  </pic:spPr>
                </pic:pic>
              </a:graphicData>
            </a:graphic>
          </wp:inline>
        </w:drawing>
      </w:r>
    </w:p>
    <w:p w14:paraId="09E3548E" w14:textId="77777777" w:rsidR="002B290F" w:rsidRDefault="00DC7723" w:rsidP="002B290F">
      <w:pPr>
        <w:snapToGrid w:val="0"/>
        <w:spacing w:after="120"/>
        <w:jc w:val="center"/>
      </w:pPr>
      <w:bookmarkStart w:id="10" w:name="OLE_LINK3"/>
      <w:bookmarkStart w:id="11" w:name="OLE_LINK4"/>
      <w:r w:rsidRPr="002B290F">
        <w:rPr>
          <w:rFonts w:ascii="Arial" w:hAnsi="Arial" w:cs="Arial"/>
          <w:b/>
          <w:sz w:val="18"/>
        </w:rPr>
        <w:t xml:space="preserve">Figure </w:t>
      </w:r>
      <w:r>
        <w:rPr>
          <w:rFonts w:ascii="Arial" w:hAnsi="Arial" w:cs="Arial"/>
          <w:b/>
          <w:sz w:val="18"/>
        </w:rPr>
        <w:t>2:</w:t>
      </w:r>
      <w:r w:rsidRPr="002B290F">
        <w:rPr>
          <w:rFonts w:ascii="Arial" w:hAnsi="Arial" w:cs="Arial"/>
          <w:b/>
          <w:sz w:val="18"/>
        </w:rPr>
        <w:t xml:space="preserve"> </w:t>
      </w:r>
      <w:r>
        <w:rPr>
          <w:rFonts w:ascii="Arial" w:hAnsi="Arial" w:cs="Arial"/>
          <w:b/>
          <w:sz w:val="18"/>
        </w:rPr>
        <w:t>Group delay of a C-band filter</w:t>
      </w:r>
      <w:bookmarkEnd w:id="10"/>
      <w:bookmarkEnd w:id="11"/>
    </w:p>
    <w:p w14:paraId="712F7FA9" w14:textId="4C191ECA" w:rsidR="002B290F" w:rsidRDefault="00BE1256" w:rsidP="00750C06">
      <w:pPr>
        <w:snapToGrid w:val="0"/>
        <w:spacing w:after="120"/>
      </w:pPr>
      <w:r>
        <w:t>We know that group delay is the derivative of the phase response with respect to frequency. Though the</w:t>
      </w:r>
      <w:r w:rsidR="00E26862">
        <w:t xml:space="preserve"> group delay </w:t>
      </w:r>
      <w:r>
        <w:t xml:space="preserve">for the filter </w:t>
      </w:r>
      <w:r w:rsidR="00066D15">
        <w:t xml:space="preserve">in Figure 2 </w:t>
      </w:r>
      <w:r w:rsidR="00E26862">
        <w:t>at the band edge is higher than the center of the supported frequency range</w:t>
      </w:r>
      <w:r>
        <w:t>, the normalized phase response is almost linear</w:t>
      </w:r>
      <w:r w:rsidR="00E26862">
        <w:t xml:space="preserve">. </w:t>
      </w:r>
    </w:p>
    <w:p w14:paraId="0FA51173" w14:textId="7E0418A6" w:rsidR="00107A7E" w:rsidRDefault="00107A7E" w:rsidP="00107A7E">
      <w:pPr>
        <w:snapToGrid w:val="0"/>
        <w:spacing w:after="0"/>
      </w:pPr>
      <w:r w:rsidRPr="00260D6F">
        <w:t xml:space="preserve">In </w:t>
      </w:r>
      <w:r>
        <w:fldChar w:fldCharType="begin"/>
      </w:r>
      <w:r>
        <w:instrText xml:space="preserve"> REF _Ref118391340 \h  \* MERGEFORMAT </w:instrText>
      </w:r>
      <w:r>
        <w:fldChar w:fldCharType="separate"/>
      </w:r>
      <w:r>
        <w:t xml:space="preserve">Figure </w:t>
      </w:r>
      <w:r>
        <w:fldChar w:fldCharType="end"/>
      </w:r>
      <w:r>
        <w:t xml:space="preserve">3, </w:t>
      </w:r>
      <w:r>
        <w:rPr>
          <w:rFonts w:hint="eastAsia"/>
        </w:rPr>
        <w:t>the</w:t>
      </w:r>
      <w:r>
        <w:t xml:space="preserve"> </w:t>
      </w:r>
      <w:r>
        <w:rPr>
          <w:rFonts w:hint="eastAsia"/>
        </w:rPr>
        <w:t>phase</w:t>
      </w:r>
      <w:r>
        <w:t xml:space="preserve"> response of a 2.6GHz filter is provided, in which the fierce phase change could be observed at the band edge, consequently we see the larger group delay at band edge as well. </w:t>
      </w:r>
    </w:p>
    <w:p w14:paraId="3A614941" w14:textId="77777777" w:rsidR="00107A7E" w:rsidRDefault="00107A7E" w:rsidP="00107A7E">
      <w:pPr>
        <w:spacing w:after="0"/>
        <w:jc w:val="center"/>
      </w:pPr>
      <w:r w:rsidRPr="00007449">
        <w:rPr>
          <w:rFonts w:hint="eastAsia"/>
          <w:noProof/>
        </w:rPr>
        <w:drawing>
          <wp:inline distT="0" distB="0" distL="0" distR="0" wp14:anchorId="23D68622" wp14:editId="77E49164">
            <wp:extent cx="3240000" cy="2422800"/>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40000" cy="2422800"/>
                    </a:xfrm>
                    <a:prstGeom prst="rect">
                      <a:avLst/>
                    </a:prstGeom>
                    <a:noFill/>
                    <a:ln>
                      <a:noFill/>
                    </a:ln>
                  </pic:spPr>
                </pic:pic>
              </a:graphicData>
            </a:graphic>
          </wp:inline>
        </w:drawing>
      </w:r>
    </w:p>
    <w:p w14:paraId="41440CB8" w14:textId="72A1EC8B" w:rsidR="00107A7E" w:rsidRDefault="00107A7E" w:rsidP="00107A7E">
      <w:pPr>
        <w:jc w:val="center"/>
      </w:pPr>
      <w:r w:rsidRPr="002B290F">
        <w:rPr>
          <w:rFonts w:ascii="Arial" w:hAnsi="Arial" w:cs="Arial"/>
          <w:b/>
          <w:sz w:val="18"/>
        </w:rPr>
        <w:t xml:space="preserve">Figure </w:t>
      </w:r>
      <w:r>
        <w:rPr>
          <w:rFonts w:ascii="Arial" w:hAnsi="Arial" w:cs="Arial"/>
          <w:b/>
          <w:sz w:val="18"/>
        </w:rPr>
        <w:t>3:</w:t>
      </w:r>
      <w:r w:rsidRPr="002B290F">
        <w:rPr>
          <w:rFonts w:ascii="Arial" w:hAnsi="Arial" w:cs="Arial"/>
          <w:b/>
          <w:sz w:val="18"/>
        </w:rPr>
        <w:t xml:space="preserve"> </w:t>
      </w:r>
      <w:r>
        <w:rPr>
          <w:rFonts w:ascii="Arial" w:hAnsi="Arial" w:cs="Arial"/>
          <w:b/>
          <w:sz w:val="18"/>
        </w:rPr>
        <w:t>phase response of a 2.6GHz band filter</w:t>
      </w:r>
    </w:p>
    <w:p w14:paraId="6AA8BAF8" w14:textId="77777777" w:rsidR="00107A7E" w:rsidRDefault="00107A7E" w:rsidP="00107A7E">
      <w:pPr>
        <w:jc w:val="center"/>
      </w:pPr>
      <w:r w:rsidRPr="00007449">
        <w:rPr>
          <w:rFonts w:hint="eastAsia"/>
          <w:noProof/>
        </w:rPr>
        <w:lastRenderedPageBreak/>
        <w:drawing>
          <wp:inline distT="0" distB="0" distL="0" distR="0" wp14:anchorId="16AA9304" wp14:editId="28D6CF0E">
            <wp:extent cx="3240000" cy="2422800"/>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40000" cy="2422800"/>
                    </a:xfrm>
                    <a:prstGeom prst="rect">
                      <a:avLst/>
                    </a:prstGeom>
                    <a:noFill/>
                    <a:ln>
                      <a:noFill/>
                    </a:ln>
                  </pic:spPr>
                </pic:pic>
              </a:graphicData>
            </a:graphic>
          </wp:inline>
        </w:drawing>
      </w:r>
    </w:p>
    <w:p w14:paraId="6619AAE9" w14:textId="1C8731EE" w:rsidR="00107A7E" w:rsidRDefault="00107A7E" w:rsidP="00107A7E">
      <w:pPr>
        <w:jc w:val="center"/>
      </w:pPr>
      <w:r w:rsidRPr="002B290F">
        <w:rPr>
          <w:rFonts w:ascii="Arial" w:hAnsi="Arial" w:cs="Arial"/>
          <w:b/>
          <w:sz w:val="18"/>
        </w:rPr>
        <w:t xml:space="preserve">Figure </w:t>
      </w:r>
      <w:r>
        <w:rPr>
          <w:rFonts w:ascii="Arial" w:hAnsi="Arial" w:cs="Arial"/>
          <w:b/>
          <w:sz w:val="18"/>
        </w:rPr>
        <w:t>4:</w:t>
      </w:r>
      <w:r w:rsidRPr="002B290F">
        <w:rPr>
          <w:rFonts w:ascii="Arial" w:hAnsi="Arial" w:cs="Arial"/>
          <w:b/>
          <w:sz w:val="18"/>
        </w:rPr>
        <w:t xml:space="preserve"> </w:t>
      </w:r>
      <w:r>
        <w:rPr>
          <w:rFonts w:ascii="Arial" w:hAnsi="Arial" w:cs="Arial"/>
          <w:b/>
          <w:sz w:val="18"/>
        </w:rPr>
        <w:t>Group delay of a 2.6GHz band filter</w:t>
      </w:r>
    </w:p>
    <w:p w14:paraId="7ABF1567" w14:textId="21BD4828" w:rsidR="00107A7E" w:rsidRDefault="00107A7E" w:rsidP="00107A7E">
      <w:pPr>
        <w:snapToGrid w:val="0"/>
        <w:spacing w:after="120"/>
      </w:pPr>
      <w:r>
        <w:rPr>
          <w:b/>
          <w:i/>
          <w:sz w:val="20"/>
          <w:szCs w:val="20"/>
        </w:rPr>
        <w:t xml:space="preserve">Observation 1: </w:t>
      </w:r>
      <w:r w:rsidRPr="00F944CA">
        <w:rPr>
          <w:b/>
          <w:i/>
          <w:sz w:val="20"/>
          <w:szCs w:val="20"/>
        </w:rPr>
        <w:t>Group delay is larger for a filter with very narrow transition band</w:t>
      </w:r>
      <w:r w:rsidRPr="00F944CA">
        <w:rPr>
          <w:rFonts w:hint="eastAsia"/>
          <w:b/>
          <w:i/>
          <w:sz w:val="20"/>
          <w:szCs w:val="20"/>
        </w:rPr>
        <w:t>.</w:t>
      </w:r>
    </w:p>
    <w:p w14:paraId="46415973" w14:textId="3CB16B99" w:rsidR="005E70E1" w:rsidRDefault="00CA16F6" w:rsidP="005B0A70">
      <w:pPr>
        <w:snapToGrid w:val="0"/>
        <w:spacing w:after="0"/>
      </w:pPr>
      <w:r>
        <w:rPr>
          <w:rFonts w:hint="eastAsia"/>
        </w:rPr>
        <w:t xml:space="preserve">For </w:t>
      </w:r>
      <w:r w:rsidR="00942FAE">
        <w:t>the impact of group delay on</w:t>
      </w:r>
      <w:r>
        <w:rPr>
          <w:rFonts w:hint="eastAsia"/>
        </w:rPr>
        <w:t xml:space="preserve"> intra-band </w:t>
      </w:r>
      <w:r w:rsidR="00942FAE">
        <w:rPr>
          <w:rFonts w:hint="eastAsia"/>
        </w:rPr>
        <w:t>contiguous CA</w:t>
      </w:r>
      <w:r>
        <w:rPr>
          <w:rFonts w:hint="eastAsia"/>
        </w:rPr>
        <w:t xml:space="preserve">, the </w:t>
      </w:r>
      <w:r w:rsidR="00942FAE">
        <w:t xml:space="preserve">performance evaluation </w:t>
      </w:r>
      <w:r w:rsidR="00BB764A">
        <w:t xml:space="preserve">for the filter characteristic in Figure 1 </w:t>
      </w:r>
      <w:r w:rsidR="00942FAE">
        <w:t>is illustrated in</w:t>
      </w:r>
      <w:r>
        <w:rPr>
          <w:rFonts w:hint="eastAsia"/>
        </w:rPr>
        <w:t xml:space="preserve"> </w:t>
      </w:r>
      <w:r w:rsidR="00942FAE">
        <w:fldChar w:fldCharType="begin"/>
      </w:r>
      <w:r w:rsidR="00942FAE">
        <w:instrText xml:space="preserve"> </w:instrText>
      </w:r>
      <w:r w:rsidR="00942FAE">
        <w:rPr>
          <w:rFonts w:hint="eastAsia"/>
        </w:rPr>
        <w:instrText>REF _Ref118383749 \h</w:instrText>
      </w:r>
      <w:r w:rsidR="00942FAE">
        <w:instrText xml:space="preserve"> </w:instrText>
      </w:r>
      <w:r w:rsidR="00942FAE">
        <w:fldChar w:fldCharType="separate"/>
      </w:r>
      <w:r w:rsidR="00942FAE" w:rsidRPr="003A04FE">
        <w:t xml:space="preserve">Figure </w:t>
      </w:r>
      <w:r w:rsidR="00BB764A">
        <w:t>5</w:t>
      </w:r>
      <w:r w:rsidR="00942FAE">
        <w:fldChar w:fldCharType="end"/>
      </w:r>
      <w:r w:rsidR="00942FAE">
        <w:t>.</w:t>
      </w:r>
      <w:r>
        <w:rPr>
          <w:rFonts w:hint="eastAsia"/>
        </w:rPr>
        <w:t xml:space="preserve"> </w:t>
      </w:r>
      <w:r w:rsidR="00942FAE">
        <w:t>A</w:t>
      </w:r>
      <w:r>
        <w:rPr>
          <w:rFonts w:hint="eastAsia"/>
        </w:rPr>
        <w:t xml:space="preserve">nd its detailed values at different tile of CDF curve are summarized in the following </w:t>
      </w:r>
      <w:r w:rsidR="00BD18A5">
        <w:fldChar w:fldCharType="begin"/>
      </w:r>
      <w:r w:rsidR="00BD18A5">
        <w:instrText xml:space="preserve"> </w:instrText>
      </w:r>
      <w:r w:rsidR="00BD18A5">
        <w:rPr>
          <w:rFonts w:hint="eastAsia"/>
        </w:rPr>
        <w:instrText>REF _Ref118388165 \h</w:instrText>
      </w:r>
      <w:r w:rsidR="00BD18A5">
        <w:instrText xml:space="preserve"> </w:instrText>
      </w:r>
      <w:r w:rsidR="00BD18A5">
        <w:fldChar w:fldCharType="separate"/>
      </w:r>
      <w:r w:rsidR="00BD18A5">
        <w:t xml:space="preserve">Table </w:t>
      </w:r>
      <w:r w:rsidR="00BD18A5">
        <w:rPr>
          <w:noProof/>
        </w:rPr>
        <w:t>1</w:t>
      </w:r>
      <w:r w:rsidR="00BD18A5">
        <w:fldChar w:fldCharType="end"/>
      </w:r>
      <w:r>
        <w:rPr>
          <w:rFonts w:hint="eastAsia"/>
        </w:rPr>
        <w:t xml:space="preserve">. The simulation assumption </w:t>
      </w:r>
      <w:r w:rsidR="005B0A70">
        <w:t>is listed</w:t>
      </w:r>
      <w:r>
        <w:rPr>
          <w:rFonts w:hint="eastAsia"/>
        </w:rPr>
        <w:t xml:space="preserve"> in Appendix.</w:t>
      </w:r>
      <w:r w:rsidR="00066D15">
        <w:t xml:space="preserve"> </w:t>
      </w:r>
      <w:r>
        <w:rPr>
          <w:rFonts w:hint="eastAsia"/>
        </w:rPr>
        <w:t xml:space="preserve">Based on </w:t>
      </w:r>
      <w:r w:rsidR="00942FAE">
        <w:t>the performance evaluation</w:t>
      </w:r>
      <w:r w:rsidR="002B140C">
        <w:t xml:space="preserve"> f</w:t>
      </w:r>
      <w:r w:rsidR="002B140C">
        <w:rPr>
          <w:rFonts w:hint="eastAsia"/>
        </w:rPr>
        <w:t xml:space="preserve">or the case of </w:t>
      </w:r>
      <w:r w:rsidR="002B140C">
        <w:t xml:space="preserve">intra-band contiguous CA </w:t>
      </w:r>
      <w:r w:rsidR="002B140C">
        <w:rPr>
          <w:rFonts w:hint="eastAsia"/>
        </w:rPr>
        <w:t xml:space="preserve">100MHz+100MHz (InF_SH), as </w:t>
      </w:r>
      <w:r w:rsidR="002B140C">
        <w:t xml:space="preserve">shown in </w:t>
      </w:r>
      <w:r w:rsidR="002B140C">
        <w:fldChar w:fldCharType="begin"/>
      </w:r>
      <w:r w:rsidR="002B140C">
        <w:instrText xml:space="preserve"> REF _Ref118383749 \h </w:instrText>
      </w:r>
      <w:r w:rsidR="002B140C">
        <w:fldChar w:fldCharType="separate"/>
      </w:r>
      <w:r w:rsidR="002B140C" w:rsidRPr="003A04FE">
        <w:t xml:space="preserve">Figure </w:t>
      </w:r>
      <w:r w:rsidR="00BB764A">
        <w:t>5</w:t>
      </w:r>
      <w:r w:rsidR="002B140C">
        <w:fldChar w:fldCharType="end"/>
      </w:r>
      <w:r>
        <w:rPr>
          <w:rFonts w:hint="eastAsia"/>
        </w:rPr>
        <w:t>,</w:t>
      </w:r>
      <w:r w:rsidR="00942FAE">
        <w:t xml:space="preserve"> </w:t>
      </w:r>
      <w:r>
        <w:rPr>
          <w:rFonts w:hint="eastAsia"/>
        </w:rPr>
        <w:t xml:space="preserve">the positioning accuracy would decrease </w:t>
      </w:r>
      <w:r w:rsidR="005B0A70">
        <w:t>slightly</w:t>
      </w:r>
      <w:r w:rsidR="002B140C">
        <w:t>.</w:t>
      </w:r>
      <w:r>
        <w:rPr>
          <w:rFonts w:hint="eastAsia"/>
        </w:rPr>
        <w:t xml:space="preserve"> </w:t>
      </w:r>
    </w:p>
    <w:p w14:paraId="54116FB6" w14:textId="77777777" w:rsidR="003A04FE" w:rsidRDefault="00DC7723" w:rsidP="00DC7723">
      <w:pPr>
        <w:snapToGrid w:val="0"/>
        <w:spacing w:after="0"/>
        <w:jc w:val="center"/>
        <w:rPr>
          <w:rFonts w:eastAsia="黑体"/>
          <w:kern w:val="0"/>
          <w:sz w:val="20"/>
          <w:szCs w:val="20"/>
        </w:rPr>
      </w:pPr>
      <w:r w:rsidRPr="003A04FE">
        <w:rPr>
          <w:rFonts w:eastAsia="黑体"/>
          <w:noProof/>
          <w:kern w:val="0"/>
          <w:sz w:val="20"/>
          <w:szCs w:val="20"/>
        </w:rPr>
        <w:drawing>
          <wp:inline distT="0" distB="0" distL="0" distR="0" wp14:anchorId="034AB189" wp14:editId="638978BC">
            <wp:extent cx="3240000" cy="2476800"/>
            <wp:effectExtent l="0" t="0" r="0" b="0"/>
            <wp:docPr id="2" name="图片 1">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1BB5CD0-22AE-4F20-80BD-A00C7575050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1BB5CD0-22AE-4F20-80BD-A00C7575050F}"/>
                        </a:ext>
                      </a:extLst>
                    </pic:cNvPr>
                    <pic:cNvPicPr>
                      <a:picLocks noChangeAspect="1"/>
                    </pic:cNvPicPr>
                  </pic:nvPicPr>
                  <pic:blipFill>
                    <a:blip r:embed="rId13"/>
                    <a:stretch>
                      <a:fillRect/>
                    </a:stretch>
                  </pic:blipFill>
                  <pic:spPr>
                    <a:xfrm>
                      <a:off x="0" y="0"/>
                      <a:ext cx="3240000" cy="2476800"/>
                    </a:xfrm>
                    <a:prstGeom prst="rect">
                      <a:avLst/>
                    </a:prstGeom>
                  </pic:spPr>
                </pic:pic>
              </a:graphicData>
            </a:graphic>
          </wp:inline>
        </w:drawing>
      </w:r>
    </w:p>
    <w:p w14:paraId="3BF77847" w14:textId="77777777" w:rsidR="00BE1256" w:rsidRPr="003A04FE" w:rsidRDefault="00BE1256" w:rsidP="00DC7723">
      <w:pPr>
        <w:snapToGrid w:val="0"/>
        <w:spacing w:after="0"/>
        <w:jc w:val="center"/>
        <w:rPr>
          <w:rFonts w:eastAsia="黑体"/>
          <w:kern w:val="0"/>
          <w:sz w:val="20"/>
          <w:szCs w:val="20"/>
        </w:rPr>
      </w:pPr>
    </w:p>
    <w:p w14:paraId="1FCE097F" w14:textId="7D799722" w:rsidR="005E70E1" w:rsidRPr="003A04FE" w:rsidRDefault="003A04FE" w:rsidP="00DC7723">
      <w:pPr>
        <w:snapToGrid w:val="0"/>
        <w:spacing w:after="120"/>
        <w:jc w:val="center"/>
      </w:pPr>
      <w:bookmarkStart w:id="12" w:name="_Ref118383749"/>
      <w:r w:rsidRPr="00DC7723">
        <w:rPr>
          <w:rFonts w:ascii="Arial" w:hAnsi="Arial" w:cs="Arial"/>
          <w:b/>
          <w:sz w:val="18"/>
        </w:rPr>
        <w:t xml:space="preserve">Figure </w:t>
      </w:r>
      <w:bookmarkEnd w:id="12"/>
      <w:r w:rsidR="00BB764A">
        <w:rPr>
          <w:rFonts w:ascii="Arial" w:hAnsi="Arial" w:cs="Arial"/>
          <w:b/>
          <w:sz w:val="18"/>
        </w:rPr>
        <w:t>5</w:t>
      </w:r>
      <w:r w:rsidR="005B4967">
        <w:rPr>
          <w:rFonts w:ascii="Arial" w:hAnsi="Arial" w:cs="Arial"/>
          <w:b/>
          <w:sz w:val="18"/>
        </w:rPr>
        <w:t>:</w:t>
      </w:r>
      <w:r w:rsidRPr="00DC7723">
        <w:rPr>
          <w:rFonts w:ascii="Arial" w:hAnsi="Arial" w:cs="Arial"/>
          <w:b/>
          <w:sz w:val="18"/>
        </w:rPr>
        <w:t xml:space="preserve"> </w:t>
      </w:r>
      <w:r w:rsidR="004B7A5B" w:rsidRPr="00DC7723">
        <w:rPr>
          <w:rFonts w:ascii="Arial" w:hAnsi="Arial" w:cs="Arial"/>
          <w:b/>
          <w:sz w:val="18"/>
        </w:rPr>
        <w:t>performance evaluation</w:t>
      </w:r>
      <w:r w:rsidR="00CA16F6" w:rsidRPr="00DC7723">
        <w:rPr>
          <w:rFonts w:ascii="Arial" w:hAnsi="Arial" w:cs="Arial"/>
          <w:b/>
          <w:sz w:val="18"/>
        </w:rPr>
        <w:t xml:space="preserve"> </w:t>
      </w:r>
      <w:r w:rsidR="00CA16F6" w:rsidRPr="00DC7723">
        <w:rPr>
          <w:rFonts w:ascii="Arial" w:hAnsi="Arial" w:cs="Arial" w:hint="eastAsia"/>
          <w:b/>
          <w:sz w:val="18"/>
        </w:rPr>
        <w:t>for</w:t>
      </w:r>
      <w:r w:rsidR="00CA16F6" w:rsidRPr="00DC7723">
        <w:rPr>
          <w:rFonts w:ascii="Arial" w:hAnsi="Arial" w:cs="Arial"/>
          <w:b/>
          <w:sz w:val="18"/>
        </w:rPr>
        <w:t xml:space="preserve"> 100MHz+100MHz</w:t>
      </w:r>
      <w:r w:rsidR="00CA16F6" w:rsidRPr="00DC7723">
        <w:rPr>
          <w:rFonts w:ascii="Arial" w:hAnsi="Arial" w:cs="Arial" w:hint="eastAsia"/>
          <w:b/>
          <w:sz w:val="18"/>
        </w:rPr>
        <w:t xml:space="preserve"> carrier aggregation</w:t>
      </w:r>
      <w:r w:rsidR="00CA16F6" w:rsidRPr="00DC7723">
        <w:rPr>
          <w:rFonts w:ascii="Arial" w:hAnsi="Arial" w:cs="Arial"/>
          <w:b/>
          <w:sz w:val="18"/>
        </w:rPr>
        <w:t xml:space="preserve"> </w:t>
      </w:r>
      <w:r w:rsidR="004B7A5B" w:rsidRPr="00DC7723">
        <w:rPr>
          <w:rFonts w:ascii="Arial" w:hAnsi="Arial" w:cs="Arial"/>
          <w:b/>
          <w:sz w:val="18"/>
        </w:rPr>
        <w:t xml:space="preserve">with group delay </w:t>
      </w:r>
      <w:r w:rsidR="00CA16F6" w:rsidRPr="00DC7723">
        <w:rPr>
          <w:rFonts w:ascii="Arial" w:hAnsi="Arial" w:cs="Arial"/>
          <w:b/>
          <w:sz w:val="18"/>
        </w:rPr>
        <w:t>(InF_SH)</w:t>
      </w:r>
      <w:r w:rsidR="00823492" w:rsidRPr="00DC7723">
        <w:rPr>
          <w:rFonts w:ascii="Arial" w:hAnsi="Arial" w:cs="Arial"/>
          <w:b/>
          <w:sz w:val="18"/>
        </w:rPr>
        <w:t>- 3.5GHz</w:t>
      </w:r>
    </w:p>
    <w:p w14:paraId="3E4F0E7A" w14:textId="6CD05FBC" w:rsidR="005E70E1" w:rsidRDefault="00066D15" w:rsidP="008729B2">
      <w:pPr>
        <w:snapToGrid w:val="0"/>
        <w:spacing w:beforeLines="50" w:before="156" w:afterLines="50" w:after="156"/>
        <w:jc w:val="left"/>
        <w:rPr>
          <w:sz w:val="20"/>
          <w:szCs w:val="20"/>
        </w:rPr>
      </w:pPr>
      <w:r>
        <w:rPr>
          <w:rFonts w:hint="eastAsia"/>
          <w:sz w:val="20"/>
          <w:szCs w:val="20"/>
        </w:rPr>
        <w:t>P</w:t>
      </w:r>
      <w:r>
        <w:rPr>
          <w:sz w:val="20"/>
          <w:szCs w:val="20"/>
        </w:rPr>
        <w:t xml:space="preserve">ositioning accuracy due to impact of group delay </w:t>
      </w:r>
      <w:r w:rsidR="00287594">
        <w:rPr>
          <w:sz w:val="20"/>
          <w:szCs w:val="20"/>
        </w:rPr>
        <w:t>i</w:t>
      </w:r>
      <w:r>
        <w:rPr>
          <w:sz w:val="20"/>
          <w:szCs w:val="20"/>
        </w:rPr>
        <w:t xml:space="preserve">n Figure </w:t>
      </w:r>
      <w:r w:rsidR="00BB764A">
        <w:rPr>
          <w:sz w:val="20"/>
          <w:szCs w:val="20"/>
        </w:rPr>
        <w:t>5</w:t>
      </w:r>
      <w:r>
        <w:rPr>
          <w:sz w:val="20"/>
          <w:szCs w:val="20"/>
        </w:rPr>
        <w:t xml:space="preserve"> is elaborated in Table 1. </w:t>
      </w:r>
    </w:p>
    <w:p w14:paraId="79EB20C7" w14:textId="3A7BD560" w:rsidR="00BD18A5" w:rsidRPr="00DC7723" w:rsidRDefault="00BD18A5" w:rsidP="00DC7723">
      <w:pPr>
        <w:snapToGrid w:val="0"/>
        <w:spacing w:after="120"/>
        <w:jc w:val="center"/>
        <w:rPr>
          <w:rFonts w:ascii="Arial" w:hAnsi="Arial" w:cs="Arial"/>
          <w:b/>
          <w:sz w:val="18"/>
        </w:rPr>
      </w:pPr>
      <w:bookmarkStart w:id="13" w:name="_Ref118388165"/>
      <w:r w:rsidRPr="00DC7723">
        <w:rPr>
          <w:rFonts w:ascii="Arial" w:hAnsi="Arial" w:cs="Arial"/>
          <w:b/>
          <w:sz w:val="18"/>
        </w:rPr>
        <w:t xml:space="preserve">Table </w:t>
      </w:r>
      <w:r w:rsidRPr="00DC7723">
        <w:rPr>
          <w:rFonts w:ascii="Arial" w:hAnsi="Arial" w:cs="Arial"/>
          <w:b/>
          <w:sz w:val="18"/>
        </w:rPr>
        <w:fldChar w:fldCharType="begin"/>
      </w:r>
      <w:r w:rsidRPr="00DC7723">
        <w:rPr>
          <w:rFonts w:ascii="Arial" w:hAnsi="Arial" w:cs="Arial"/>
          <w:b/>
          <w:sz w:val="18"/>
        </w:rPr>
        <w:instrText xml:space="preserve"> SEQ Table \* ARABIC </w:instrText>
      </w:r>
      <w:r w:rsidRPr="00DC7723">
        <w:rPr>
          <w:rFonts w:ascii="Arial" w:hAnsi="Arial" w:cs="Arial"/>
          <w:b/>
          <w:sz w:val="18"/>
        </w:rPr>
        <w:fldChar w:fldCharType="separate"/>
      </w:r>
      <w:r w:rsidRPr="00DC7723">
        <w:rPr>
          <w:rFonts w:ascii="Arial" w:hAnsi="Arial" w:cs="Arial"/>
          <w:b/>
          <w:sz w:val="18"/>
        </w:rPr>
        <w:t>1</w:t>
      </w:r>
      <w:r w:rsidRPr="00DC7723">
        <w:rPr>
          <w:rFonts w:ascii="Arial" w:hAnsi="Arial" w:cs="Arial"/>
          <w:b/>
          <w:sz w:val="18"/>
        </w:rPr>
        <w:fldChar w:fldCharType="end"/>
      </w:r>
      <w:bookmarkEnd w:id="13"/>
      <w:r w:rsidR="005B0A70" w:rsidRPr="00DC7723">
        <w:rPr>
          <w:rFonts w:ascii="Arial" w:hAnsi="Arial" w:cs="Arial" w:hint="eastAsia"/>
          <w:b/>
          <w:sz w:val="18"/>
        </w:rPr>
        <w:t xml:space="preserve"> </w:t>
      </w:r>
      <w:r w:rsidR="005B0A70" w:rsidRPr="00DC7723">
        <w:rPr>
          <w:rFonts w:ascii="Arial" w:hAnsi="Arial" w:cs="Arial"/>
          <w:b/>
          <w:sz w:val="18"/>
        </w:rPr>
        <w:t xml:space="preserve">The </w:t>
      </w:r>
      <w:r w:rsidR="005B0A70" w:rsidRPr="00DC7723">
        <w:rPr>
          <w:rFonts w:ascii="Arial" w:hAnsi="Arial" w:cs="Arial" w:hint="eastAsia"/>
          <w:b/>
          <w:sz w:val="18"/>
        </w:rPr>
        <w:t>p</w:t>
      </w:r>
      <w:r w:rsidR="005B0A70" w:rsidRPr="00DC7723">
        <w:rPr>
          <w:rFonts w:ascii="Arial" w:hAnsi="Arial" w:cs="Arial"/>
          <w:b/>
          <w:sz w:val="18"/>
        </w:rPr>
        <w:t>ositioning accuracy</w:t>
      </w:r>
    </w:p>
    <w:tbl>
      <w:tblPr>
        <w:tblW w:w="865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846"/>
        <w:gridCol w:w="1424"/>
        <w:gridCol w:w="1276"/>
        <w:gridCol w:w="1417"/>
        <w:gridCol w:w="1276"/>
        <w:gridCol w:w="1418"/>
      </w:tblGrid>
      <w:tr w:rsidR="00BD18A5" w:rsidRPr="00DC7723" w14:paraId="2C745CE1" w14:textId="77777777" w:rsidTr="008729B2">
        <w:trPr>
          <w:trHeight w:val="217"/>
          <w:jc w:val="center"/>
        </w:trPr>
        <w:tc>
          <w:tcPr>
            <w:tcW w:w="1846" w:type="dxa"/>
            <w:vMerge w:val="restart"/>
            <w:shd w:val="clear" w:color="auto" w:fill="auto"/>
            <w:tcMar>
              <w:top w:w="15" w:type="dxa"/>
              <w:left w:w="108" w:type="dxa"/>
              <w:bottom w:w="0" w:type="dxa"/>
              <w:right w:w="108" w:type="dxa"/>
            </w:tcMar>
            <w:vAlign w:val="center"/>
            <w:hideMark/>
          </w:tcPr>
          <w:p w14:paraId="4C5576EA" w14:textId="77777777" w:rsidR="00BD18A5" w:rsidRPr="00DC7723" w:rsidRDefault="00BD18A5" w:rsidP="00DC7723">
            <w:pPr>
              <w:snapToGrid w:val="0"/>
              <w:spacing w:after="0" w:line="240" w:lineRule="auto"/>
              <w:jc w:val="center"/>
              <w:rPr>
                <w:rFonts w:ascii="Arial" w:hAnsi="Arial" w:cs="Arial"/>
                <w:sz w:val="18"/>
                <w:szCs w:val="18"/>
              </w:rPr>
            </w:pPr>
            <w:r w:rsidRPr="00DC7723">
              <w:rPr>
                <w:rFonts w:ascii="Arial" w:hAnsi="Arial" w:cs="Arial"/>
                <w:b/>
                <w:bCs/>
                <w:sz w:val="18"/>
                <w:szCs w:val="18"/>
              </w:rPr>
              <w:t>Case</w:t>
            </w:r>
          </w:p>
        </w:tc>
        <w:tc>
          <w:tcPr>
            <w:tcW w:w="6811" w:type="dxa"/>
            <w:gridSpan w:val="5"/>
            <w:shd w:val="clear" w:color="auto" w:fill="auto"/>
            <w:tcMar>
              <w:top w:w="15" w:type="dxa"/>
              <w:left w:w="108" w:type="dxa"/>
              <w:bottom w:w="0" w:type="dxa"/>
              <w:right w:w="108" w:type="dxa"/>
            </w:tcMar>
            <w:vAlign w:val="center"/>
            <w:hideMark/>
          </w:tcPr>
          <w:p w14:paraId="05BFDC55" w14:textId="77777777" w:rsidR="00BD18A5" w:rsidRPr="00DC7723" w:rsidRDefault="00BD18A5" w:rsidP="00DC7723">
            <w:pPr>
              <w:snapToGrid w:val="0"/>
              <w:spacing w:after="0" w:line="240" w:lineRule="auto"/>
              <w:jc w:val="center"/>
              <w:rPr>
                <w:rFonts w:ascii="Arial" w:hAnsi="Arial" w:cs="Arial"/>
                <w:sz w:val="18"/>
                <w:szCs w:val="18"/>
              </w:rPr>
            </w:pPr>
            <w:r w:rsidRPr="00DC7723">
              <w:rPr>
                <w:rFonts w:ascii="Arial" w:hAnsi="Arial" w:cs="Arial"/>
                <w:b/>
                <w:bCs/>
                <w:sz w:val="18"/>
                <w:szCs w:val="18"/>
              </w:rPr>
              <w:t>InF-SH, 200MHz</w:t>
            </w:r>
          </w:p>
        </w:tc>
      </w:tr>
      <w:tr w:rsidR="00BD18A5" w:rsidRPr="00DC7723" w14:paraId="35E99055" w14:textId="77777777" w:rsidTr="008729B2">
        <w:trPr>
          <w:trHeight w:val="136"/>
          <w:jc w:val="center"/>
        </w:trPr>
        <w:tc>
          <w:tcPr>
            <w:tcW w:w="1846" w:type="dxa"/>
            <w:vMerge/>
            <w:vAlign w:val="center"/>
            <w:hideMark/>
          </w:tcPr>
          <w:p w14:paraId="071BFFD4" w14:textId="77777777" w:rsidR="00BD18A5" w:rsidRPr="00DC7723" w:rsidRDefault="00BD18A5" w:rsidP="00DC7723">
            <w:pPr>
              <w:snapToGrid w:val="0"/>
              <w:spacing w:after="0" w:line="240" w:lineRule="auto"/>
              <w:jc w:val="center"/>
              <w:rPr>
                <w:rFonts w:ascii="Arial" w:hAnsi="Arial" w:cs="Arial"/>
                <w:sz w:val="18"/>
                <w:szCs w:val="18"/>
              </w:rPr>
            </w:pPr>
          </w:p>
        </w:tc>
        <w:tc>
          <w:tcPr>
            <w:tcW w:w="1424" w:type="dxa"/>
            <w:shd w:val="clear" w:color="auto" w:fill="auto"/>
            <w:tcMar>
              <w:top w:w="15" w:type="dxa"/>
              <w:left w:w="108" w:type="dxa"/>
              <w:bottom w:w="0" w:type="dxa"/>
              <w:right w:w="108" w:type="dxa"/>
            </w:tcMar>
            <w:vAlign w:val="center"/>
            <w:hideMark/>
          </w:tcPr>
          <w:p w14:paraId="5832248E" w14:textId="77777777" w:rsidR="00BD18A5" w:rsidRPr="00DC7723" w:rsidRDefault="00BD18A5" w:rsidP="00DC7723">
            <w:pPr>
              <w:snapToGrid w:val="0"/>
              <w:spacing w:after="0" w:line="240" w:lineRule="auto"/>
              <w:jc w:val="center"/>
              <w:rPr>
                <w:rFonts w:ascii="Arial" w:hAnsi="Arial" w:cs="Arial"/>
                <w:sz w:val="18"/>
                <w:szCs w:val="18"/>
              </w:rPr>
            </w:pPr>
            <w:r w:rsidRPr="00DC7723">
              <w:rPr>
                <w:rFonts w:ascii="Arial" w:hAnsi="Arial" w:cs="Arial"/>
                <w:sz w:val="18"/>
                <w:szCs w:val="18"/>
              </w:rPr>
              <w:t>50%</w:t>
            </w:r>
          </w:p>
        </w:tc>
        <w:tc>
          <w:tcPr>
            <w:tcW w:w="1276" w:type="dxa"/>
            <w:shd w:val="clear" w:color="auto" w:fill="auto"/>
            <w:tcMar>
              <w:top w:w="15" w:type="dxa"/>
              <w:left w:w="108" w:type="dxa"/>
              <w:bottom w:w="0" w:type="dxa"/>
              <w:right w:w="108" w:type="dxa"/>
            </w:tcMar>
            <w:vAlign w:val="center"/>
            <w:hideMark/>
          </w:tcPr>
          <w:p w14:paraId="16B152CD" w14:textId="77777777" w:rsidR="00BD18A5" w:rsidRPr="00DC7723" w:rsidRDefault="00BD18A5" w:rsidP="00DC7723">
            <w:pPr>
              <w:snapToGrid w:val="0"/>
              <w:spacing w:after="0" w:line="240" w:lineRule="auto"/>
              <w:jc w:val="center"/>
              <w:rPr>
                <w:rFonts w:ascii="Arial" w:hAnsi="Arial" w:cs="Arial"/>
                <w:sz w:val="18"/>
                <w:szCs w:val="18"/>
              </w:rPr>
            </w:pPr>
            <w:r w:rsidRPr="00DC7723">
              <w:rPr>
                <w:rFonts w:ascii="Arial" w:hAnsi="Arial" w:cs="Arial"/>
                <w:sz w:val="18"/>
                <w:szCs w:val="18"/>
              </w:rPr>
              <w:t>67%</w:t>
            </w:r>
          </w:p>
        </w:tc>
        <w:tc>
          <w:tcPr>
            <w:tcW w:w="1417" w:type="dxa"/>
            <w:shd w:val="clear" w:color="auto" w:fill="auto"/>
            <w:tcMar>
              <w:top w:w="15" w:type="dxa"/>
              <w:left w:w="108" w:type="dxa"/>
              <w:bottom w:w="0" w:type="dxa"/>
              <w:right w:w="108" w:type="dxa"/>
            </w:tcMar>
            <w:vAlign w:val="center"/>
            <w:hideMark/>
          </w:tcPr>
          <w:p w14:paraId="2BC23593" w14:textId="77777777" w:rsidR="00BD18A5" w:rsidRPr="00DC7723" w:rsidRDefault="00BD18A5" w:rsidP="00DC7723">
            <w:pPr>
              <w:snapToGrid w:val="0"/>
              <w:spacing w:after="0" w:line="240" w:lineRule="auto"/>
              <w:jc w:val="center"/>
              <w:rPr>
                <w:rFonts w:ascii="Arial" w:hAnsi="Arial" w:cs="Arial"/>
                <w:sz w:val="18"/>
                <w:szCs w:val="18"/>
              </w:rPr>
            </w:pPr>
            <w:r w:rsidRPr="00DC7723">
              <w:rPr>
                <w:rFonts w:ascii="Arial" w:hAnsi="Arial" w:cs="Arial"/>
                <w:sz w:val="18"/>
                <w:szCs w:val="18"/>
              </w:rPr>
              <w:t>80%</w:t>
            </w:r>
          </w:p>
        </w:tc>
        <w:tc>
          <w:tcPr>
            <w:tcW w:w="1276" w:type="dxa"/>
            <w:shd w:val="clear" w:color="auto" w:fill="auto"/>
            <w:tcMar>
              <w:top w:w="15" w:type="dxa"/>
              <w:left w:w="108" w:type="dxa"/>
              <w:bottom w:w="0" w:type="dxa"/>
              <w:right w:w="108" w:type="dxa"/>
            </w:tcMar>
            <w:vAlign w:val="center"/>
            <w:hideMark/>
          </w:tcPr>
          <w:p w14:paraId="548E1D98" w14:textId="77777777" w:rsidR="00BD18A5" w:rsidRPr="00DC7723" w:rsidRDefault="00BD18A5" w:rsidP="00DC7723">
            <w:pPr>
              <w:snapToGrid w:val="0"/>
              <w:spacing w:after="0" w:line="240" w:lineRule="auto"/>
              <w:jc w:val="center"/>
              <w:rPr>
                <w:rFonts w:ascii="Arial" w:hAnsi="Arial" w:cs="Arial"/>
                <w:b/>
                <w:sz w:val="18"/>
                <w:szCs w:val="18"/>
              </w:rPr>
            </w:pPr>
            <w:r w:rsidRPr="00DC7723">
              <w:rPr>
                <w:rFonts w:ascii="Arial" w:hAnsi="Arial" w:cs="Arial"/>
                <w:b/>
                <w:color w:val="FF0000"/>
                <w:sz w:val="18"/>
                <w:szCs w:val="18"/>
              </w:rPr>
              <w:t>90%</w:t>
            </w:r>
          </w:p>
        </w:tc>
        <w:tc>
          <w:tcPr>
            <w:tcW w:w="1418" w:type="dxa"/>
            <w:shd w:val="clear" w:color="auto" w:fill="auto"/>
            <w:tcMar>
              <w:top w:w="15" w:type="dxa"/>
              <w:left w:w="108" w:type="dxa"/>
              <w:bottom w:w="0" w:type="dxa"/>
              <w:right w:w="108" w:type="dxa"/>
            </w:tcMar>
            <w:vAlign w:val="center"/>
            <w:hideMark/>
          </w:tcPr>
          <w:p w14:paraId="6B123E36" w14:textId="77777777" w:rsidR="00BD18A5" w:rsidRPr="00DC7723" w:rsidRDefault="00BD18A5" w:rsidP="00DC7723">
            <w:pPr>
              <w:snapToGrid w:val="0"/>
              <w:spacing w:after="0" w:line="240" w:lineRule="auto"/>
              <w:jc w:val="center"/>
              <w:rPr>
                <w:rFonts w:ascii="Arial" w:hAnsi="Arial" w:cs="Arial"/>
                <w:sz w:val="18"/>
                <w:szCs w:val="18"/>
              </w:rPr>
            </w:pPr>
            <w:r w:rsidRPr="00DC7723">
              <w:rPr>
                <w:rFonts w:ascii="Arial" w:hAnsi="Arial" w:cs="Arial"/>
                <w:sz w:val="18"/>
                <w:szCs w:val="18"/>
              </w:rPr>
              <w:t>95%</w:t>
            </w:r>
          </w:p>
        </w:tc>
      </w:tr>
      <w:tr w:rsidR="00BD18A5" w:rsidRPr="00DC7723" w14:paraId="0E6FD1BA" w14:textId="77777777" w:rsidTr="008729B2">
        <w:trPr>
          <w:trHeight w:val="124"/>
          <w:jc w:val="center"/>
        </w:trPr>
        <w:tc>
          <w:tcPr>
            <w:tcW w:w="1846" w:type="dxa"/>
            <w:shd w:val="clear" w:color="auto" w:fill="auto"/>
            <w:tcMar>
              <w:top w:w="15" w:type="dxa"/>
              <w:left w:w="108" w:type="dxa"/>
              <w:bottom w:w="0" w:type="dxa"/>
              <w:right w:w="108" w:type="dxa"/>
            </w:tcMar>
            <w:hideMark/>
          </w:tcPr>
          <w:p w14:paraId="5C52EA50" w14:textId="77777777" w:rsidR="00BD18A5" w:rsidRPr="00DC7723" w:rsidRDefault="00BD18A5" w:rsidP="00DC7723">
            <w:pPr>
              <w:snapToGrid w:val="0"/>
              <w:spacing w:after="0" w:line="240" w:lineRule="auto"/>
              <w:jc w:val="center"/>
              <w:rPr>
                <w:rFonts w:ascii="Arial" w:hAnsi="Arial" w:cs="Arial"/>
                <w:sz w:val="18"/>
                <w:szCs w:val="18"/>
              </w:rPr>
            </w:pPr>
            <w:r w:rsidRPr="00DC7723">
              <w:rPr>
                <w:rFonts w:ascii="Arial" w:hAnsi="Arial" w:cs="Arial"/>
                <w:b/>
                <w:bCs/>
                <w:sz w:val="18"/>
                <w:szCs w:val="18"/>
              </w:rPr>
              <w:t>Baseline</w:t>
            </w:r>
          </w:p>
        </w:tc>
        <w:tc>
          <w:tcPr>
            <w:tcW w:w="1424" w:type="dxa"/>
            <w:shd w:val="clear" w:color="auto" w:fill="auto"/>
            <w:tcMar>
              <w:top w:w="15" w:type="dxa"/>
              <w:left w:w="108" w:type="dxa"/>
              <w:bottom w:w="0" w:type="dxa"/>
              <w:right w:w="108" w:type="dxa"/>
            </w:tcMar>
            <w:vAlign w:val="center"/>
            <w:hideMark/>
          </w:tcPr>
          <w:p w14:paraId="73F3EC4E" w14:textId="77777777" w:rsidR="00BD18A5" w:rsidRPr="00DC7723" w:rsidRDefault="00BD18A5" w:rsidP="00DC7723">
            <w:pPr>
              <w:snapToGrid w:val="0"/>
              <w:spacing w:after="0" w:line="240" w:lineRule="auto"/>
              <w:jc w:val="center"/>
              <w:rPr>
                <w:rFonts w:ascii="Arial" w:hAnsi="Arial" w:cs="Arial"/>
                <w:sz w:val="18"/>
                <w:szCs w:val="18"/>
              </w:rPr>
            </w:pPr>
            <w:r w:rsidRPr="00DC7723">
              <w:rPr>
                <w:rFonts w:ascii="Arial" w:hAnsi="Arial" w:cs="Arial"/>
                <w:sz w:val="18"/>
                <w:szCs w:val="18"/>
              </w:rPr>
              <w:t>0.017</w:t>
            </w:r>
          </w:p>
        </w:tc>
        <w:tc>
          <w:tcPr>
            <w:tcW w:w="1276" w:type="dxa"/>
            <w:shd w:val="clear" w:color="auto" w:fill="auto"/>
            <w:tcMar>
              <w:top w:w="15" w:type="dxa"/>
              <w:left w:w="108" w:type="dxa"/>
              <w:bottom w:w="0" w:type="dxa"/>
              <w:right w:w="108" w:type="dxa"/>
            </w:tcMar>
            <w:vAlign w:val="center"/>
            <w:hideMark/>
          </w:tcPr>
          <w:p w14:paraId="6FBD6618" w14:textId="77777777" w:rsidR="00BD18A5" w:rsidRPr="00DC7723" w:rsidRDefault="00BD18A5" w:rsidP="00DC7723">
            <w:pPr>
              <w:snapToGrid w:val="0"/>
              <w:spacing w:after="0" w:line="240" w:lineRule="auto"/>
              <w:jc w:val="center"/>
              <w:rPr>
                <w:rFonts w:ascii="Arial" w:hAnsi="Arial" w:cs="Arial"/>
                <w:sz w:val="18"/>
                <w:szCs w:val="18"/>
              </w:rPr>
            </w:pPr>
            <w:r w:rsidRPr="00DC7723">
              <w:rPr>
                <w:rFonts w:ascii="Arial" w:hAnsi="Arial" w:cs="Arial"/>
                <w:sz w:val="18"/>
                <w:szCs w:val="18"/>
              </w:rPr>
              <w:t>0.026</w:t>
            </w:r>
          </w:p>
        </w:tc>
        <w:tc>
          <w:tcPr>
            <w:tcW w:w="1417" w:type="dxa"/>
            <w:shd w:val="clear" w:color="auto" w:fill="auto"/>
            <w:tcMar>
              <w:top w:w="15" w:type="dxa"/>
              <w:left w:w="108" w:type="dxa"/>
              <w:bottom w:w="0" w:type="dxa"/>
              <w:right w:w="108" w:type="dxa"/>
            </w:tcMar>
            <w:vAlign w:val="center"/>
            <w:hideMark/>
          </w:tcPr>
          <w:p w14:paraId="50028700" w14:textId="77777777" w:rsidR="00BD18A5" w:rsidRPr="00DC7723" w:rsidRDefault="00BD18A5" w:rsidP="00DC7723">
            <w:pPr>
              <w:snapToGrid w:val="0"/>
              <w:spacing w:after="0" w:line="240" w:lineRule="auto"/>
              <w:jc w:val="center"/>
              <w:rPr>
                <w:rFonts w:ascii="Arial" w:hAnsi="Arial" w:cs="Arial"/>
                <w:sz w:val="18"/>
                <w:szCs w:val="18"/>
              </w:rPr>
            </w:pPr>
            <w:r w:rsidRPr="00DC7723">
              <w:rPr>
                <w:rFonts w:ascii="Arial" w:hAnsi="Arial" w:cs="Arial"/>
                <w:sz w:val="18"/>
                <w:szCs w:val="18"/>
              </w:rPr>
              <w:t>0.039</w:t>
            </w:r>
          </w:p>
        </w:tc>
        <w:tc>
          <w:tcPr>
            <w:tcW w:w="1276" w:type="dxa"/>
            <w:shd w:val="clear" w:color="auto" w:fill="auto"/>
            <w:tcMar>
              <w:top w:w="15" w:type="dxa"/>
              <w:left w:w="108" w:type="dxa"/>
              <w:bottom w:w="0" w:type="dxa"/>
              <w:right w:w="108" w:type="dxa"/>
            </w:tcMar>
            <w:vAlign w:val="center"/>
            <w:hideMark/>
          </w:tcPr>
          <w:p w14:paraId="0C01F494" w14:textId="77777777" w:rsidR="00BD18A5" w:rsidRPr="00DC7723" w:rsidRDefault="00BD18A5" w:rsidP="00DC7723">
            <w:pPr>
              <w:snapToGrid w:val="0"/>
              <w:spacing w:after="0" w:line="240" w:lineRule="auto"/>
              <w:jc w:val="center"/>
              <w:rPr>
                <w:rFonts w:ascii="Arial" w:hAnsi="Arial" w:cs="Arial"/>
                <w:b/>
                <w:color w:val="FF0000"/>
                <w:sz w:val="18"/>
                <w:szCs w:val="18"/>
              </w:rPr>
            </w:pPr>
            <w:r w:rsidRPr="00DC7723">
              <w:rPr>
                <w:rFonts w:ascii="Arial" w:hAnsi="Arial" w:cs="Arial"/>
                <w:b/>
                <w:color w:val="FF0000"/>
                <w:sz w:val="18"/>
                <w:szCs w:val="18"/>
              </w:rPr>
              <w:t>0.066</w:t>
            </w:r>
          </w:p>
        </w:tc>
        <w:tc>
          <w:tcPr>
            <w:tcW w:w="1418" w:type="dxa"/>
            <w:shd w:val="clear" w:color="auto" w:fill="auto"/>
            <w:tcMar>
              <w:top w:w="15" w:type="dxa"/>
              <w:left w:w="108" w:type="dxa"/>
              <w:bottom w:w="0" w:type="dxa"/>
              <w:right w:w="108" w:type="dxa"/>
            </w:tcMar>
            <w:vAlign w:val="center"/>
            <w:hideMark/>
          </w:tcPr>
          <w:p w14:paraId="4210829E" w14:textId="77777777" w:rsidR="00BD18A5" w:rsidRPr="00DC7723" w:rsidRDefault="00BD18A5" w:rsidP="00DC7723">
            <w:pPr>
              <w:snapToGrid w:val="0"/>
              <w:spacing w:after="0" w:line="240" w:lineRule="auto"/>
              <w:jc w:val="center"/>
              <w:rPr>
                <w:rFonts w:ascii="Arial" w:hAnsi="Arial" w:cs="Arial"/>
                <w:sz w:val="18"/>
                <w:szCs w:val="18"/>
              </w:rPr>
            </w:pPr>
            <w:r w:rsidRPr="00DC7723">
              <w:rPr>
                <w:rFonts w:ascii="Arial" w:hAnsi="Arial" w:cs="Arial"/>
                <w:sz w:val="18"/>
                <w:szCs w:val="18"/>
              </w:rPr>
              <w:t>0.107</w:t>
            </w:r>
          </w:p>
        </w:tc>
      </w:tr>
      <w:tr w:rsidR="00BD18A5" w:rsidRPr="00DC7723" w14:paraId="71564CDC" w14:textId="77777777" w:rsidTr="008729B2">
        <w:trPr>
          <w:trHeight w:val="20"/>
          <w:jc w:val="center"/>
        </w:trPr>
        <w:tc>
          <w:tcPr>
            <w:tcW w:w="1846" w:type="dxa"/>
            <w:shd w:val="clear" w:color="auto" w:fill="auto"/>
            <w:tcMar>
              <w:top w:w="15" w:type="dxa"/>
              <w:left w:w="108" w:type="dxa"/>
              <w:bottom w:w="0" w:type="dxa"/>
              <w:right w:w="108" w:type="dxa"/>
            </w:tcMar>
            <w:hideMark/>
          </w:tcPr>
          <w:p w14:paraId="72CD7661" w14:textId="77777777" w:rsidR="00BD18A5" w:rsidRPr="00DC7723" w:rsidRDefault="00BD18A5" w:rsidP="00DC7723">
            <w:pPr>
              <w:snapToGrid w:val="0"/>
              <w:spacing w:after="0" w:line="240" w:lineRule="auto"/>
              <w:jc w:val="center"/>
              <w:rPr>
                <w:rFonts w:ascii="Arial" w:hAnsi="Arial" w:cs="Arial"/>
                <w:sz w:val="18"/>
                <w:szCs w:val="18"/>
              </w:rPr>
            </w:pPr>
            <w:r w:rsidRPr="00DC7723">
              <w:rPr>
                <w:rFonts w:ascii="Arial" w:hAnsi="Arial" w:cs="Arial"/>
                <w:b/>
                <w:bCs/>
                <w:sz w:val="18"/>
                <w:szCs w:val="18"/>
              </w:rPr>
              <w:t>Add group delay</w:t>
            </w:r>
          </w:p>
        </w:tc>
        <w:tc>
          <w:tcPr>
            <w:tcW w:w="1424" w:type="dxa"/>
            <w:shd w:val="clear" w:color="auto" w:fill="auto"/>
            <w:tcMar>
              <w:top w:w="15" w:type="dxa"/>
              <w:left w:w="108" w:type="dxa"/>
              <w:bottom w:w="0" w:type="dxa"/>
              <w:right w:w="108" w:type="dxa"/>
            </w:tcMar>
            <w:vAlign w:val="center"/>
            <w:hideMark/>
          </w:tcPr>
          <w:p w14:paraId="4F434EB7" w14:textId="77777777" w:rsidR="00BD18A5" w:rsidRPr="00DC7723" w:rsidRDefault="00BD18A5" w:rsidP="00DC7723">
            <w:pPr>
              <w:snapToGrid w:val="0"/>
              <w:spacing w:after="0" w:line="240" w:lineRule="auto"/>
              <w:jc w:val="center"/>
              <w:rPr>
                <w:rFonts w:ascii="Arial" w:hAnsi="Arial" w:cs="Arial"/>
                <w:sz w:val="18"/>
                <w:szCs w:val="18"/>
              </w:rPr>
            </w:pPr>
            <w:r w:rsidRPr="00DC7723">
              <w:rPr>
                <w:rFonts w:ascii="Arial" w:hAnsi="Arial" w:cs="Arial"/>
                <w:sz w:val="18"/>
                <w:szCs w:val="18"/>
              </w:rPr>
              <w:t>0.020</w:t>
            </w:r>
          </w:p>
        </w:tc>
        <w:tc>
          <w:tcPr>
            <w:tcW w:w="1276" w:type="dxa"/>
            <w:shd w:val="clear" w:color="auto" w:fill="auto"/>
            <w:tcMar>
              <w:top w:w="15" w:type="dxa"/>
              <w:left w:w="108" w:type="dxa"/>
              <w:bottom w:w="0" w:type="dxa"/>
              <w:right w:w="108" w:type="dxa"/>
            </w:tcMar>
            <w:vAlign w:val="center"/>
            <w:hideMark/>
          </w:tcPr>
          <w:p w14:paraId="642F9679" w14:textId="77777777" w:rsidR="00BD18A5" w:rsidRPr="00DC7723" w:rsidRDefault="00BD18A5" w:rsidP="00DC7723">
            <w:pPr>
              <w:snapToGrid w:val="0"/>
              <w:spacing w:after="0" w:line="240" w:lineRule="auto"/>
              <w:jc w:val="center"/>
              <w:rPr>
                <w:rFonts w:ascii="Arial" w:hAnsi="Arial" w:cs="Arial"/>
                <w:sz w:val="18"/>
                <w:szCs w:val="18"/>
              </w:rPr>
            </w:pPr>
            <w:r w:rsidRPr="00DC7723">
              <w:rPr>
                <w:rFonts w:ascii="Arial" w:hAnsi="Arial" w:cs="Arial"/>
                <w:sz w:val="18"/>
                <w:szCs w:val="18"/>
              </w:rPr>
              <w:t>0.029</w:t>
            </w:r>
          </w:p>
        </w:tc>
        <w:tc>
          <w:tcPr>
            <w:tcW w:w="1417" w:type="dxa"/>
            <w:shd w:val="clear" w:color="auto" w:fill="auto"/>
            <w:tcMar>
              <w:top w:w="15" w:type="dxa"/>
              <w:left w:w="108" w:type="dxa"/>
              <w:bottom w:w="0" w:type="dxa"/>
              <w:right w:w="108" w:type="dxa"/>
            </w:tcMar>
            <w:vAlign w:val="center"/>
            <w:hideMark/>
          </w:tcPr>
          <w:p w14:paraId="10AC918D" w14:textId="77777777" w:rsidR="00BD18A5" w:rsidRPr="00DC7723" w:rsidRDefault="00BD18A5" w:rsidP="00DC7723">
            <w:pPr>
              <w:snapToGrid w:val="0"/>
              <w:spacing w:after="0" w:line="240" w:lineRule="auto"/>
              <w:jc w:val="center"/>
              <w:rPr>
                <w:rFonts w:ascii="Arial" w:hAnsi="Arial" w:cs="Arial"/>
                <w:sz w:val="18"/>
                <w:szCs w:val="18"/>
              </w:rPr>
            </w:pPr>
            <w:r w:rsidRPr="00DC7723">
              <w:rPr>
                <w:rFonts w:ascii="Arial" w:hAnsi="Arial" w:cs="Arial"/>
                <w:sz w:val="18"/>
                <w:szCs w:val="18"/>
              </w:rPr>
              <w:t>0.043</w:t>
            </w:r>
          </w:p>
        </w:tc>
        <w:tc>
          <w:tcPr>
            <w:tcW w:w="1276" w:type="dxa"/>
            <w:shd w:val="clear" w:color="auto" w:fill="auto"/>
            <w:tcMar>
              <w:top w:w="15" w:type="dxa"/>
              <w:left w:w="108" w:type="dxa"/>
              <w:bottom w:w="0" w:type="dxa"/>
              <w:right w:w="108" w:type="dxa"/>
            </w:tcMar>
            <w:vAlign w:val="center"/>
            <w:hideMark/>
          </w:tcPr>
          <w:p w14:paraId="47588FC9" w14:textId="77777777" w:rsidR="00BD18A5" w:rsidRPr="00DC7723" w:rsidRDefault="00BD18A5" w:rsidP="00DC7723">
            <w:pPr>
              <w:snapToGrid w:val="0"/>
              <w:spacing w:after="0" w:line="240" w:lineRule="auto"/>
              <w:jc w:val="center"/>
              <w:rPr>
                <w:rFonts w:ascii="Arial" w:hAnsi="Arial" w:cs="Arial"/>
                <w:b/>
                <w:color w:val="FF0000"/>
                <w:sz w:val="18"/>
                <w:szCs w:val="18"/>
              </w:rPr>
            </w:pPr>
            <w:r w:rsidRPr="00DC7723">
              <w:rPr>
                <w:rFonts w:ascii="Arial" w:hAnsi="Arial" w:cs="Arial"/>
                <w:b/>
                <w:color w:val="FF0000"/>
                <w:sz w:val="18"/>
                <w:szCs w:val="18"/>
              </w:rPr>
              <w:t>0.075</w:t>
            </w:r>
          </w:p>
        </w:tc>
        <w:tc>
          <w:tcPr>
            <w:tcW w:w="1418" w:type="dxa"/>
            <w:shd w:val="clear" w:color="auto" w:fill="auto"/>
            <w:tcMar>
              <w:top w:w="15" w:type="dxa"/>
              <w:left w:w="108" w:type="dxa"/>
              <w:bottom w:w="0" w:type="dxa"/>
              <w:right w:w="108" w:type="dxa"/>
            </w:tcMar>
            <w:vAlign w:val="center"/>
            <w:hideMark/>
          </w:tcPr>
          <w:p w14:paraId="2B90E963" w14:textId="77777777" w:rsidR="00BD18A5" w:rsidRPr="00DC7723" w:rsidRDefault="00BD18A5" w:rsidP="00DC7723">
            <w:pPr>
              <w:snapToGrid w:val="0"/>
              <w:spacing w:after="0" w:line="240" w:lineRule="auto"/>
              <w:jc w:val="center"/>
              <w:rPr>
                <w:rFonts w:ascii="Arial" w:hAnsi="Arial" w:cs="Arial"/>
                <w:sz w:val="18"/>
                <w:szCs w:val="18"/>
              </w:rPr>
            </w:pPr>
            <w:r w:rsidRPr="00DC7723">
              <w:rPr>
                <w:rFonts w:ascii="Arial" w:hAnsi="Arial" w:cs="Arial"/>
                <w:sz w:val="18"/>
                <w:szCs w:val="18"/>
              </w:rPr>
              <w:t>0.126</w:t>
            </w:r>
          </w:p>
        </w:tc>
      </w:tr>
    </w:tbl>
    <w:p w14:paraId="16CF8238" w14:textId="3BB5A68E" w:rsidR="002B140C" w:rsidRPr="005B4967" w:rsidRDefault="002B140C" w:rsidP="005B4967">
      <w:pPr>
        <w:snapToGrid w:val="0"/>
        <w:spacing w:beforeLines="50" w:before="156" w:after="120"/>
        <w:rPr>
          <w:b/>
          <w:i/>
        </w:rPr>
      </w:pPr>
      <w:r w:rsidRPr="005B4967">
        <w:rPr>
          <w:b/>
          <w:i/>
        </w:rPr>
        <w:t xml:space="preserve">Observation </w:t>
      </w:r>
      <w:r w:rsidR="00BB764A">
        <w:rPr>
          <w:b/>
          <w:i/>
        </w:rPr>
        <w:t>2</w:t>
      </w:r>
      <w:r w:rsidRPr="005B4967">
        <w:rPr>
          <w:b/>
          <w:i/>
        </w:rPr>
        <w:t>: The group delay has little impact on intra-band contiguous CA</w:t>
      </w:r>
      <w:r w:rsidR="00E24A2A" w:rsidRPr="005B4967">
        <w:rPr>
          <w:b/>
          <w:i/>
        </w:rPr>
        <w:t xml:space="preserve"> for a filter with </w:t>
      </w:r>
      <w:r w:rsidR="00B83EFA">
        <w:rPr>
          <w:b/>
          <w:i/>
        </w:rPr>
        <w:t>wide</w:t>
      </w:r>
      <w:r w:rsidR="00E24A2A" w:rsidRPr="005B4967">
        <w:rPr>
          <w:b/>
          <w:i/>
        </w:rPr>
        <w:t xml:space="preserve"> transition band</w:t>
      </w:r>
      <w:r w:rsidRPr="005B4967">
        <w:rPr>
          <w:b/>
          <w:i/>
        </w:rPr>
        <w:t xml:space="preserve">. </w:t>
      </w:r>
    </w:p>
    <w:p w14:paraId="2AEBDA93" w14:textId="0B956676" w:rsidR="00CB1C8C" w:rsidRDefault="00F944CA">
      <w:pPr>
        <w:snapToGrid w:val="0"/>
        <w:rPr>
          <w:sz w:val="20"/>
          <w:szCs w:val="20"/>
        </w:rPr>
      </w:pPr>
      <w:r>
        <w:rPr>
          <w:rFonts w:hint="eastAsia"/>
          <w:sz w:val="20"/>
          <w:szCs w:val="20"/>
        </w:rPr>
        <w:t>T</w:t>
      </w:r>
      <w:r>
        <w:rPr>
          <w:sz w:val="20"/>
          <w:szCs w:val="20"/>
        </w:rPr>
        <w:t>hough we have not yet evaluate</w:t>
      </w:r>
      <w:r w:rsidR="00D144A2">
        <w:rPr>
          <w:sz w:val="20"/>
          <w:szCs w:val="20"/>
        </w:rPr>
        <w:t>d</w:t>
      </w:r>
      <w:r>
        <w:rPr>
          <w:sz w:val="20"/>
          <w:szCs w:val="20"/>
        </w:rPr>
        <w:t xml:space="preserve"> the positioning performance </w:t>
      </w:r>
      <w:r w:rsidR="00741BEC">
        <w:rPr>
          <w:sz w:val="20"/>
          <w:szCs w:val="20"/>
        </w:rPr>
        <w:t>with</w:t>
      </w:r>
      <w:r>
        <w:rPr>
          <w:sz w:val="20"/>
          <w:szCs w:val="20"/>
        </w:rPr>
        <w:t xml:space="preserve"> group delay </w:t>
      </w:r>
      <w:r w:rsidR="00741BEC">
        <w:rPr>
          <w:sz w:val="20"/>
          <w:szCs w:val="20"/>
        </w:rPr>
        <w:t>character</w:t>
      </w:r>
      <w:r w:rsidR="00D144A2">
        <w:rPr>
          <w:sz w:val="20"/>
          <w:szCs w:val="20"/>
        </w:rPr>
        <w:t>istic</w:t>
      </w:r>
      <w:r w:rsidR="00741BEC">
        <w:rPr>
          <w:sz w:val="20"/>
          <w:szCs w:val="20"/>
        </w:rPr>
        <w:t xml:space="preserve"> in Figure </w:t>
      </w:r>
      <w:r w:rsidR="00283A53">
        <w:rPr>
          <w:sz w:val="20"/>
          <w:szCs w:val="20"/>
        </w:rPr>
        <w:t>4</w:t>
      </w:r>
      <w:r w:rsidR="00D144A2">
        <w:rPr>
          <w:sz w:val="20"/>
          <w:szCs w:val="20"/>
        </w:rPr>
        <w:t xml:space="preserve">, the measurement data shows that the TAE for </w:t>
      </w:r>
      <w:r w:rsidR="00F50DDF">
        <w:rPr>
          <w:sz w:val="20"/>
          <w:szCs w:val="20"/>
        </w:rPr>
        <w:t xml:space="preserve">RF modules supporting C-band and 2.6GHz are similar. </w:t>
      </w:r>
      <w:r w:rsidR="00EB44F3">
        <w:rPr>
          <w:sz w:val="20"/>
          <w:szCs w:val="20"/>
        </w:rPr>
        <w:t xml:space="preserve">We understand </w:t>
      </w:r>
      <w:r w:rsidR="00EB44F3">
        <w:rPr>
          <w:sz w:val="20"/>
          <w:szCs w:val="20"/>
        </w:rPr>
        <w:lastRenderedPageBreak/>
        <w:t xml:space="preserve">positioning enhancements has close relationship to the time difference of contiguous CCs for CA scenario, but TAE requirement itself in the spec is a tradeoff of performance and implementation complexity. </w:t>
      </w:r>
      <w:r w:rsidR="0061384F">
        <w:rPr>
          <w:sz w:val="20"/>
          <w:szCs w:val="20"/>
        </w:rPr>
        <w:t xml:space="preserve">For some specific band or scenarios, better TAE is possible if implementation complexity is not considered. </w:t>
      </w:r>
    </w:p>
    <w:p w14:paraId="18FDF49A" w14:textId="42DB97D9" w:rsidR="00CB1C8C" w:rsidRDefault="00CB1C8C">
      <w:pPr>
        <w:snapToGrid w:val="0"/>
        <w:rPr>
          <w:sz w:val="20"/>
          <w:szCs w:val="20"/>
        </w:rPr>
      </w:pPr>
      <w:r w:rsidRPr="008A550C">
        <w:rPr>
          <w:rFonts w:hint="eastAsia"/>
          <w:b/>
          <w:bCs/>
          <w:i/>
        </w:rPr>
        <w:t xml:space="preserve">Proposal </w:t>
      </w:r>
      <w:r>
        <w:rPr>
          <w:b/>
          <w:bCs/>
          <w:i/>
        </w:rPr>
        <w:t>1</w:t>
      </w:r>
      <w:r>
        <w:rPr>
          <w:rFonts w:hint="eastAsia"/>
        </w:rPr>
        <w:t xml:space="preserve">: </w:t>
      </w:r>
      <w:r w:rsidRPr="008A550C">
        <w:rPr>
          <w:b/>
          <w:i/>
        </w:rPr>
        <w:t xml:space="preserve">Timing difference impact to the positioning accuracy could be further evaluated by RAN1, but no further discussion on TAE requirement is needed in RAN4, since better TAE is not a generic assumption for all </w:t>
      </w:r>
      <w:r>
        <w:rPr>
          <w:b/>
          <w:i/>
        </w:rPr>
        <w:t>operating</w:t>
      </w:r>
      <w:r w:rsidRPr="008A550C">
        <w:rPr>
          <w:b/>
          <w:i/>
        </w:rPr>
        <w:t xml:space="preserve"> bands and deployment scenarios.</w:t>
      </w:r>
    </w:p>
    <w:p w14:paraId="0BF762DF" w14:textId="76D78B4D" w:rsidR="00F944CA" w:rsidRDefault="00CB1C8C">
      <w:pPr>
        <w:snapToGrid w:val="0"/>
        <w:rPr>
          <w:sz w:val="20"/>
          <w:szCs w:val="20"/>
        </w:rPr>
      </w:pPr>
      <w:r>
        <w:rPr>
          <w:sz w:val="20"/>
          <w:szCs w:val="20"/>
        </w:rPr>
        <w:t xml:space="preserve">Since group delay is not identical to the </w:t>
      </w:r>
      <w:r w:rsidR="00BD1087">
        <w:rPr>
          <w:sz w:val="20"/>
          <w:szCs w:val="20"/>
        </w:rPr>
        <w:t xml:space="preserve">TAE, </w:t>
      </w:r>
      <w:r w:rsidR="00EB44F3">
        <w:rPr>
          <w:sz w:val="20"/>
          <w:szCs w:val="20"/>
        </w:rPr>
        <w:t xml:space="preserve">the performance impact due to group delay should be further studied, especially for the case with dramatic phase change at the band edge as shown in Figure </w:t>
      </w:r>
      <w:r w:rsidR="00283A53">
        <w:rPr>
          <w:sz w:val="20"/>
          <w:szCs w:val="20"/>
        </w:rPr>
        <w:t>3</w:t>
      </w:r>
      <w:r w:rsidR="00EB44F3">
        <w:rPr>
          <w:sz w:val="20"/>
          <w:szCs w:val="20"/>
        </w:rPr>
        <w:t>.</w:t>
      </w:r>
      <w:r w:rsidR="00F944CA">
        <w:rPr>
          <w:sz w:val="20"/>
          <w:szCs w:val="20"/>
        </w:rPr>
        <w:t xml:space="preserve"> </w:t>
      </w:r>
    </w:p>
    <w:p w14:paraId="78976ABE" w14:textId="31902B24" w:rsidR="00BD1087" w:rsidRPr="00BD1087" w:rsidRDefault="00BD1087">
      <w:pPr>
        <w:snapToGrid w:val="0"/>
        <w:rPr>
          <w:sz w:val="20"/>
          <w:szCs w:val="20"/>
        </w:rPr>
      </w:pPr>
      <w:r w:rsidRPr="008A550C">
        <w:rPr>
          <w:b/>
          <w:bCs/>
          <w:i/>
        </w:rPr>
        <w:t xml:space="preserve">Proposal </w:t>
      </w:r>
      <w:r>
        <w:rPr>
          <w:b/>
          <w:bCs/>
          <w:i/>
        </w:rPr>
        <w:t>2</w:t>
      </w:r>
      <w:r w:rsidRPr="008A550C">
        <w:rPr>
          <w:b/>
          <w:bCs/>
          <w:i/>
        </w:rPr>
        <w:t>:</w:t>
      </w:r>
      <w:r w:rsidR="002E0836">
        <w:rPr>
          <w:b/>
          <w:bCs/>
          <w:i/>
        </w:rPr>
        <w:t xml:space="preserve"> </w:t>
      </w:r>
      <w:r w:rsidRPr="008A550C">
        <w:rPr>
          <w:rFonts w:hint="eastAsia"/>
          <w:b/>
          <w:bCs/>
          <w:i/>
        </w:rPr>
        <w:t>Further</w:t>
      </w:r>
      <w:r w:rsidRPr="008A550C">
        <w:rPr>
          <w:b/>
          <w:bCs/>
          <w:i/>
        </w:rPr>
        <w:t xml:space="preserve"> study the performance impact due to group delay especially for the case with dramatic phase change at the band edge for the band supporting large aggregated channel BW</w:t>
      </w:r>
      <w:r>
        <w:rPr>
          <w:b/>
          <w:bCs/>
        </w:rPr>
        <w:t>.</w:t>
      </w:r>
    </w:p>
    <w:bookmarkEnd w:id="4"/>
    <w:bookmarkEnd w:id="5"/>
    <w:bookmarkEnd w:id="6"/>
    <w:bookmarkEnd w:id="7"/>
    <w:p w14:paraId="7B71537E" w14:textId="77777777" w:rsidR="005E70E1" w:rsidRDefault="00CA16F6">
      <w:pPr>
        <w:pStyle w:val="Char"/>
        <w:tabs>
          <w:tab w:val="clear" w:pos="1985"/>
          <w:tab w:val="left" w:pos="567"/>
        </w:tabs>
        <w:adjustRightInd w:val="0"/>
        <w:ind w:left="510" w:hanging="510"/>
      </w:pPr>
      <w:r>
        <w:t>Conclusions</w:t>
      </w:r>
    </w:p>
    <w:p w14:paraId="459CF126" w14:textId="6C68D35F" w:rsidR="005E70E1" w:rsidRDefault="00CA16F6">
      <w:pPr>
        <w:jc w:val="left"/>
      </w:pPr>
      <w:r>
        <w:rPr>
          <w:rFonts w:eastAsiaTheme="minorEastAsia" w:hint="eastAsia"/>
        </w:rPr>
        <w:t xml:space="preserve">In this contribution, </w:t>
      </w:r>
      <w:r>
        <w:rPr>
          <w:rFonts w:hint="eastAsia"/>
        </w:rPr>
        <w:t xml:space="preserve">we share some initial consideration on </w:t>
      </w:r>
      <w:r w:rsidR="00EB44F3">
        <w:t xml:space="preserve">performance impact due to group delay for </w:t>
      </w:r>
      <w:r>
        <w:rPr>
          <w:rFonts w:hint="eastAsia"/>
        </w:rPr>
        <w:t>intra-band contiguous CA based positioning enhancement and proposals are made as following:</w:t>
      </w:r>
    </w:p>
    <w:p w14:paraId="30DC19B2" w14:textId="253CEC92" w:rsidR="005E70E1" w:rsidRDefault="00CA16F6" w:rsidP="00D40003">
      <w:pPr>
        <w:snapToGrid w:val="0"/>
        <w:spacing w:after="120"/>
      </w:pPr>
      <w:r w:rsidRPr="008A550C">
        <w:rPr>
          <w:b/>
          <w:bCs/>
          <w:i/>
        </w:rPr>
        <w:t>Proposal 1:</w:t>
      </w:r>
      <w:r w:rsidR="00A36987">
        <w:rPr>
          <w:b/>
          <w:bCs/>
          <w:i/>
        </w:rPr>
        <w:t xml:space="preserve"> </w:t>
      </w:r>
      <w:r w:rsidR="00BD1087" w:rsidRPr="008A550C">
        <w:rPr>
          <w:b/>
          <w:i/>
        </w:rPr>
        <w:t xml:space="preserve">Timing difference impact to the positioning accuracy could be further evaluated by RAN1, but no further discussion on TAE requirement is needed in RAN4, since better TAE is not a generic assumption for all </w:t>
      </w:r>
      <w:r w:rsidR="00BD1087">
        <w:rPr>
          <w:b/>
          <w:i/>
        </w:rPr>
        <w:t>operating</w:t>
      </w:r>
      <w:r w:rsidR="00BD1087" w:rsidRPr="008A550C">
        <w:rPr>
          <w:b/>
          <w:i/>
        </w:rPr>
        <w:t xml:space="preserve"> bands and deployment scenarios.</w:t>
      </w:r>
    </w:p>
    <w:p w14:paraId="06D281CE" w14:textId="2D4C7528" w:rsidR="005E70E1" w:rsidRDefault="00CA16F6" w:rsidP="00D40003">
      <w:pPr>
        <w:snapToGrid w:val="0"/>
        <w:spacing w:after="120"/>
      </w:pPr>
      <w:r w:rsidRPr="008A550C">
        <w:rPr>
          <w:rFonts w:hint="eastAsia"/>
          <w:b/>
          <w:bCs/>
          <w:i/>
        </w:rPr>
        <w:t>Proposal 2</w:t>
      </w:r>
      <w:r>
        <w:rPr>
          <w:rFonts w:hint="eastAsia"/>
        </w:rPr>
        <w:t xml:space="preserve">: </w:t>
      </w:r>
      <w:r w:rsidR="00BD1087" w:rsidRPr="008A550C">
        <w:rPr>
          <w:rFonts w:hint="eastAsia"/>
          <w:b/>
          <w:bCs/>
          <w:i/>
        </w:rPr>
        <w:t>Further</w:t>
      </w:r>
      <w:r w:rsidR="00BD1087" w:rsidRPr="008A550C">
        <w:rPr>
          <w:b/>
          <w:bCs/>
          <w:i/>
        </w:rPr>
        <w:t xml:space="preserve"> study the performance impact due to group delay especially for the case with dramatic phase change at the band edge for the band supporting large aggregated channel BW</w:t>
      </w:r>
      <w:r w:rsidR="00BD1087">
        <w:rPr>
          <w:b/>
          <w:bCs/>
        </w:rPr>
        <w:t>.</w:t>
      </w:r>
    </w:p>
    <w:p w14:paraId="77E601A9" w14:textId="77777777" w:rsidR="005E70E1" w:rsidRDefault="00CA16F6">
      <w:pPr>
        <w:pStyle w:val="Char"/>
        <w:tabs>
          <w:tab w:val="clear" w:pos="1985"/>
          <w:tab w:val="left" w:pos="567"/>
        </w:tabs>
        <w:adjustRightInd w:val="0"/>
        <w:ind w:left="510" w:hanging="510"/>
      </w:pPr>
      <w:r>
        <w:t>References</w:t>
      </w:r>
    </w:p>
    <w:p w14:paraId="4DDA9792" w14:textId="77777777" w:rsidR="005E70E1" w:rsidRDefault="00F85DF7" w:rsidP="00F85DF7">
      <w:pPr>
        <w:pStyle w:val="Style0"/>
        <w:numPr>
          <w:ilvl w:val="0"/>
          <w:numId w:val="5"/>
        </w:numPr>
        <w:tabs>
          <w:tab w:val="left" w:pos="2835"/>
        </w:tabs>
        <w:rPr>
          <w:sz w:val="20"/>
          <w:szCs w:val="20"/>
        </w:rPr>
      </w:pPr>
      <w:r>
        <w:rPr>
          <w:sz w:val="20"/>
          <w:szCs w:val="20"/>
        </w:rPr>
        <w:t xml:space="preserve">R4-2217739, </w:t>
      </w:r>
      <w:r w:rsidRPr="00F85DF7">
        <w:rPr>
          <w:sz w:val="20"/>
          <w:szCs w:val="20"/>
        </w:rPr>
        <w:t>WF on expanded and improved NR positioning – UE RF aspects</w:t>
      </w:r>
      <w:r>
        <w:rPr>
          <w:sz w:val="20"/>
          <w:szCs w:val="20"/>
        </w:rPr>
        <w:t xml:space="preserve">, </w:t>
      </w:r>
      <w:r w:rsidRPr="00F85DF7">
        <w:rPr>
          <w:sz w:val="20"/>
          <w:szCs w:val="20"/>
        </w:rPr>
        <w:t>TSG RAN WG4 Meeting #10</w:t>
      </w:r>
      <w:r w:rsidR="00312900">
        <w:rPr>
          <w:sz w:val="20"/>
          <w:szCs w:val="20"/>
        </w:rPr>
        <w:t>4bis</w:t>
      </w:r>
      <w:r w:rsidRPr="00F85DF7">
        <w:rPr>
          <w:sz w:val="20"/>
          <w:szCs w:val="20"/>
        </w:rPr>
        <w:t>-e</w:t>
      </w:r>
    </w:p>
    <w:p w14:paraId="55F59A86" w14:textId="77777777" w:rsidR="005E70E1" w:rsidRDefault="005E70E1">
      <w:pPr>
        <w:rPr>
          <w:sz w:val="20"/>
          <w:szCs w:val="20"/>
        </w:rPr>
      </w:pPr>
    </w:p>
    <w:p w14:paraId="4A35E264" w14:textId="77777777" w:rsidR="005E70E1" w:rsidRDefault="00CA16F6">
      <w:pPr>
        <w:pStyle w:val="Char"/>
        <w:tabs>
          <w:tab w:val="clear" w:pos="1985"/>
          <w:tab w:val="left" w:pos="567"/>
        </w:tabs>
        <w:adjustRightInd w:val="0"/>
        <w:snapToGrid w:val="0"/>
        <w:spacing w:before="120" w:afterLines="50" w:after="156"/>
        <w:ind w:left="510" w:hanging="510"/>
      </w:pPr>
      <w:r>
        <w:t>Appendix</w:t>
      </w:r>
    </w:p>
    <w:p w14:paraId="103AFCC2" w14:textId="77777777" w:rsidR="005E70E1" w:rsidRPr="00DC0988" w:rsidRDefault="00CA16F6" w:rsidP="00DC0988">
      <w:pPr>
        <w:jc w:val="center"/>
        <w:rPr>
          <w:b/>
          <w:szCs w:val="20"/>
        </w:rPr>
      </w:pPr>
      <w:r w:rsidRPr="00DC0988">
        <w:rPr>
          <w:rFonts w:ascii="Arial" w:hAnsi="Arial" w:cs="Arial"/>
          <w:b/>
          <w:sz w:val="20"/>
        </w:rPr>
        <w:t>Table 2 Simulation assumption</w:t>
      </w:r>
      <w:r w:rsidRPr="00DC0988">
        <w:rPr>
          <w:rFonts w:ascii="Arial" w:hAnsi="Arial" w:cs="Arial" w:hint="eastAsia"/>
          <w:b/>
          <w:sz w:val="20"/>
        </w:rPr>
        <w:t xml:space="preserve"> for FR1-1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85"/>
        <w:gridCol w:w="5386"/>
      </w:tblGrid>
      <w:tr w:rsidR="005E70E1" w14:paraId="547B2681" w14:textId="77777777" w:rsidTr="00C42E4F">
        <w:trPr>
          <w:jc w:val="center"/>
        </w:trPr>
        <w:tc>
          <w:tcPr>
            <w:tcW w:w="1985" w:type="dxa"/>
            <w:shd w:val="clear" w:color="auto" w:fill="auto"/>
          </w:tcPr>
          <w:p w14:paraId="41FF5D91" w14:textId="77777777" w:rsidR="005E70E1" w:rsidRPr="00DC0988" w:rsidRDefault="00CA16F6" w:rsidP="00D40003">
            <w:pPr>
              <w:snapToGrid w:val="0"/>
              <w:spacing w:before="60" w:after="60"/>
              <w:jc w:val="center"/>
              <w:rPr>
                <w:rFonts w:ascii="Arial" w:hAnsi="Arial" w:cs="Arial"/>
                <w:b/>
                <w:sz w:val="18"/>
                <w:szCs w:val="18"/>
              </w:rPr>
            </w:pPr>
            <w:r w:rsidRPr="00DC0988">
              <w:rPr>
                <w:rFonts w:ascii="Arial" w:hAnsi="Arial" w:cs="Arial"/>
                <w:b/>
                <w:sz w:val="18"/>
                <w:szCs w:val="18"/>
              </w:rPr>
              <w:t>Parameter</w:t>
            </w:r>
          </w:p>
        </w:tc>
        <w:tc>
          <w:tcPr>
            <w:tcW w:w="5386" w:type="dxa"/>
            <w:shd w:val="clear" w:color="auto" w:fill="auto"/>
          </w:tcPr>
          <w:p w14:paraId="7CB55B43" w14:textId="77777777" w:rsidR="005E70E1" w:rsidRPr="00DC0988" w:rsidRDefault="00CA16F6" w:rsidP="00D40003">
            <w:pPr>
              <w:snapToGrid w:val="0"/>
              <w:spacing w:before="60" w:after="60"/>
              <w:jc w:val="center"/>
              <w:rPr>
                <w:rFonts w:ascii="Arial" w:hAnsi="Arial" w:cs="Arial"/>
                <w:b/>
                <w:sz w:val="18"/>
                <w:szCs w:val="18"/>
              </w:rPr>
            </w:pPr>
            <w:r w:rsidRPr="00DC0988">
              <w:rPr>
                <w:rFonts w:ascii="Arial" w:hAnsi="Arial" w:cs="Arial"/>
                <w:b/>
                <w:sz w:val="18"/>
                <w:szCs w:val="18"/>
              </w:rPr>
              <w:t>Setting</w:t>
            </w:r>
          </w:p>
        </w:tc>
      </w:tr>
      <w:tr w:rsidR="005E70E1" w14:paraId="74AC8664" w14:textId="77777777" w:rsidTr="00C42E4F">
        <w:trPr>
          <w:jc w:val="center"/>
        </w:trPr>
        <w:tc>
          <w:tcPr>
            <w:tcW w:w="1985" w:type="dxa"/>
            <w:shd w:val="clear" w:color="auto" w:fill="auto"/>
          </w:tcPr>
          <w:p w14:paraId="138104CC" w14:textId="77777777" w:rsidR="005E70E1" w:rsidRPr="00DC0988" w:rsidRDefault="00CA16F6" w:rsidP="00D40003">
            <w:pPr>
              <w:snapToGrid w:val="0"/>
              <w:spacing w:before="60" w:after="60"/>
              <w:jc w:val="center"/>
              <w:rPr>
                <w:rFonts w:ascii="Arial" w:hAnsi="Arial" w:cs="Arial"/>
                <w:b/>
                <w:sz w:val="18"/>
                <w:szCs w:val="18"/>
              </w:rPr>
            </w:pPr>
            <w:r w:rsidRPr="00DC0988">
              <w:rPr>
                <w:rFonts w:ascii="Arial" w:hAnsi="Arial" w:cs="Arial"/>
                <w:b/>
                <w:sz w:val="18"/>
                <w:szCs w:val="18"/>
              </w:rPr>
              <w:t>Scenario</w:t>
            </w:r>
          </w:p>
        </w:tc>
        <w:tc>
          <w:tcPr>
            <w:tcW w:w="5386" w:type="dxa"/>
            <w:shd w:val="clear" w:color="auto" w:fill="auto"/>
          </w:tcPr>
          <w:p w14:paraId="57A1C918" w14:textId="77777777" w:rsidR="005E70E1" w:rsidRPr="00DC0988" w:rsidRDefault="00CA16F6" w:rsidP="00D40003">
            <w:pPr>
              <w:snapToGrid w:val="0"/>
              <w:spacing w:before="60" w:after="60"/>
              <w:jc w:val="center"/>
              <w:rPr>
                <w:rFonts w:ascii="Arial" w:hAnsi="Arial" w:cs="Arial"/>
                <w:sz w:val="18"/>
                <w:szCs w:val="18"/>
                <w:lang w:val="en-GB" w:eastAsia="en-US"/>
              </w:rPr>
            </w:pPr>
            <w:r w:rsidRPr="00DC0988">
              <w:rPr>
                <w:rFonts w:ascii="Arial" w:hAnsi="Arial" w:cs="Arial"/>
                <w:sz w:val="18"/>
                <w:szCs w:val="18"/>
              </w:rPr>
              <w:t>InF-SH</w:t>
            </w:r>
          </w:p>
        </w:tc>
      </w:tr>
      <w:tr w:rsidR="005E70E1" w14:paraId="26D6518B" w14:textId="77777777" w:rsidTr="00C42E4F">
        <w:trPr>
          <w:jc w:val="center"/>
        </w:trPr>
        <w:tc>
          <w:tcPr>
            <w:tcW w:w="1985" w:type="dxa"/>
            <w:shd w:val="clear" w:color="auto" w:fill="auto"/>
          </w:tcPr>
          <w:p w14:paraId="19ACA104" w14:textId="77777777" w:rsidR="005E70E1" w:rsidRPr="00DC0988" w:rsidRDefault="00CA16F6" w:rsidP="00D40003">
            <w:pPr>
              <w:snapToGrid w:val="0"/>
              <w:spacing w:before="60" w:after="60"/>
              <w:jc w:val="center"/>
              <w:rPr>
                <w:rFonts w:ascii="Arial" w:hAnsi="Arial" w:cs="Arial"/>
                <w:b/>
                <w:sz w:val="18"/>
                <w:szCs w:val="18"/>
              </w:rPr>
            </w:pPr>
            <w:r w:rsidRPr="00DC0988">
              <w:rPr>
                <w:rFonts w:ascii="Arial" w:hAnsi="Arial" w:cs="Arial"/>
                <w:b/>
                <w:sz w:val="18"/>
                <w:szCs w:val="18"/>
              </w:rPr>
              <w:t>Carrier frequency</w:t>
            </w:r>
          </w:p>
        </w:tc>
        <w:tc>
          <w:tcPr>
            <w:tcW w:w="5386" w:type="dxa"/>
            <w:shd w:val="clear" w:color="auto" w:fill="auto"/>
          </w:tcPr>
          <w:p w14:paraId="0EA9E581" w14:textId="77777777" w:rsidR="005E70E1" w:rsidRPr="00DC0988" w:rsidRDefault="00CA16F6" w:rsidP="00D40003">
            <w:pPr>
              <w:snapToGrid w:val="0"/>
              <w:spacing w:before="60" w:after="60"/>
              <w:jc w:val="center"/>
              <w:rPr>
                <w:rFonts w:ascii="Arial" w:hAnsi="Arial" w:cs="Arial"/>
                <w:sz w:val="18"/>
                <w:szCs w:val="18"/>
                <w:lang w:val="en-GB" w:eastAsia="en-US"/>
              </w:rPr>
            </w:pPr>
            <w:r w:rsidRPr="00DC0988">
              <w:rPr>
                <w:rFonts w:ascii="Arial" w:hAnsi="Arial" w:cs="Arial"/>
                <w:sz w:val="18"/>
                <w:szCs w:val="18"/>
              </w:rPr>
              <w:t>3.5GHz</w:t>
            </w:r>
          </w:p>
        </w:tc>
      </w:tr>
      <w:tr w:rsidR="005E70E1" w14:paraId="752683CA" w14:textId="77777777" w:rsidTr="00C42E4F">
        <w:trPr>
          <w:jc w:val="center"/>
        </w:trPr>
        <w:tc>
          <w:tcPr>
            <w:tcW w:w="1985" w:type="dxa"/>
            <w:shd w:val="clear" w:color="auto" w:fill="auto"/>
          </w:tcPr>
          <w:p w14:paraId="07030682" w14:textId="77777777" w:rsidR="005E70E1" w:rsidRPr="00DC0988" w:rsidRDefault="00CA16F6" w:rsidP="00D40003">
            <w:pPr>
              <w:snapToGrid w:val="0"/>
              <w:spacing w:before="60" w:after="60"/>
              <w:jc w:val="center"/>
              <w:rPr>
                <w:rFonts w:ascii="Arial" w:hAnsi="Arial" w:cs="Arial"/>
                <w:b/>
                <w:sz w:val="18"/>
                <w:szCs w:val="18"/>
              </w:rPr>
            </w:pPr>
            <w:r w:rsidRPr="00DC0988">
              <w:rPr>
                <w:rFonts w:ascii="Arial" w:hAnsi="Arial" w:cs="Arial"/>
                <w:b/>
                <w:sz w:val="18"/>
                <w:szCs w:val="18"/>
              </w:rPr>
              <w:t>Bandwidth</w:t>
            </w:r>
          </w:p>
        </w:tc>
        <w:tc>
          <w:tcPr>
            <w:tcW w:w="5386" w:type="dxa"/>
            <w:shd w:val="clear" w:color="auto" w:fill="auto"/>
          </w:tcPr>
          <w:p w14:paraId="1A1D67DF" w14:textId="77777777" w:rsidR="005E70E1" w:rsidRPr="00DC0988" w:rsidRDefault="00CA16F6" w:rsidP="00D40003">
            <w:pPr>
              <w:snapToGrid w:val="0"/>
              <w:spacing w:before="60" w:after="60"/>
              <w:jc w:val="center"/>
              <w:rPr>
                <w:rFonts w:ascii="Arial" w:hAnsi="Arial" w:cs="Arial"/>
                <w:sz w:val="18"/>
                <w:szCs w:val="18"/>
              </w:rPr>
            </w:pPr>
            <w:r w:rsidRPr="00DC0988">
              <w:rPr>
                <w:rFonts w:ascii="Arial" w:hAnsi="Arial" w:cs="Arial"/>
                <w:sz w:val="18"/>
                <w:szCs w:val="18"/>
              </w:rPr>
              <w:t>100+100MHz</w:t>
            </w:r>
          </w:p>
        </w:tc>
      </w:tr>
      <w:tr w:rsidR="005E70E1" w14:paraId="6EBC835F" w14:textId="77777777" w:rsidTr="00D40003">
        <w:trPr>
          <w:trHeight w:val="418"/>
          <w:jc w:val="center"/>
        </w:trPr>
        <w:tc>
          <w:tcPr>
            <w:tcW w:w="1985" w:type="dxa"/>
            <w:shd w:val="clear" w:color="auto" w:fill="auto"/>
          </w:tcPr>
          <w:p w14:paraId="619ADBE9" w14:textId="77777777" w:rsidR="005E70E1" w:rsidRPr="00DC0988" w:rsidRDefault="00CA16F6" w:rsidP="00D40003">
            <w:pPr>
              <w:snapToGrid w:val="0"/>
              <w:spacing w:before="60" w:after="60"/>
              <w:jc w:val="center"/>
              <w:rPr>
                <w:rFonts w:ascii="Arial" w:hAnsi="Arial" w:cs="Arial"/>
                <w:b/>
                <w:sz w:val="18"/>
                <w:szCs w:val="18"/>
              </w:rPr>
            </w:pPr>
            <w:r w:rsidRPr="00DC0988">
              <w:rPr>
                <w:rFonts w:ascii="Arial" w:hAnsi="Arial" w:cs="Arial"/>
                <w:b/>
                <w:sz w:val="18"/>
                <w:szCs w:val="18"/>
              </w:rPr>
              <w:t>SCS</w:t>
            </w:r>
          </w:p>
        </w:tc>
        <w:tc>
          <w:tcPr>
            <w:tcW w:w="5386" w:type="dxa"/>
            <w:shd w:val="clear" w:color="auto" w:fill="auto"/>
          </w:tcPr>
          <w:p w14:paraId="0CF3597B" w14:textId="77777777" w:rsidR="005E70E1" w:rsidRPr="00DC0988" w:rsidRDefault="00CA16F6" w:rsidP="00D40003">
            <w:pPr>
              <w:snapToGrid w:val="0"/>
              <w:spacing w:before="60" w:after="60"/>
              <w:jc w:val="center"/>
              <w:rPr>
                <w:rFonts w:ascii="Arial" w:hAnsi="Arial" w:cs="Arial"/>
                <w:sz w:val="18"/>
                <w:szCs w:val="18"/>
                <w:lang w:val="en-GB" w:eastAsia="en-US"/>
              </w:rPr>
            </w:pPr>
            <w:r w:rsidRPr="00DC0988">
              <w:rPr>
                <w:rFonts w:ascii="Arial" w:hAnsi="Arial" w:cs="Arial"/>
                <w:sz w:val="18"/>
                <w:szCs w:val="18"/>
              </w:rPr>
              <w:t>30kHz</w:t>
            </w:r>
          </w:p>
        </w:tc>
      </w:tr>
      <w:tr w:rsidR="005E70E1" w14:paraId="79588852" w14:textId="77777777" w:rsidTr="00C42E4F">
        <w:trPr>
          <w:jc w:val="center"/>
        </w:trPr>
        <w:tc>
          <w:tcPr>
            <w:tcW w:w="1985" w:type="dxa"/>
            <w:shd w:val="clear" w:color="auto" w:fill="auto"/>
            <w:vAlign w:val="center"/>
          </w:tcPr>
          <w:p w14:paraId="5108BC7C" w14:textId="77777777" w:rsidR="005E70E1" w:rsidRPr="00DC0988" w:rsidRDefault="00CA16F6" w:rsidP="00D40003">
            <w:pPr>
              <w:snapToGrid w:val="0"/>
              <w:spacing w:before="60" w:after="60"/>
              <w:jc w:val="center"/>
              <w:rPr>
                <w:rFonts w:ascii="Arial" w:hAnsi="Arial" w:cs="Arial"/>
                <w:b/>
                <w:sz w:val="18"/>
                <w:szCs w:val="18"/>
              </w:rPr>
            </w:pPr>
            <w:r w:rsidRPr="00DC0988">
              <w:rPr>
                <w:rFonts w:ascii="Arial" w:hAnsi="Arial" w:cs="Arial"/>
                <w:b/>
                <w:sz w:val="18"/>
                <w:szCs w:val="18"/>
              </w:rPr>
              <w:t>Description of measurement algorithm</w:t>
            </w:r>
          </w:p>
        </w:tc>
        <w:tc>
          <w:tcPr>
            <w:tcW w:w="5386" w:type="dxa"/>
            <w:shd w:val="clear" w:color="auto" w:fill="auto"/>
            <w:vAlign w:val="center"/>
          </w:tcPr>
          <w:p w14:paraId="5733CD51" w14:textId="77777777" w:rsidR="005E70E1" w:rsidRPr="00DC0988" w:rsidRDefault="00CA16F6" w:rsidP="00D40003">
            <w:pPr>
              <w:snapToGrid w:val="0"/>
              <w:spacing w:before="60" w:after="60"/>
              <w:jc w:val="center"/>
              <w:rPr>
                <w:rFonts w:ascii="Arial" w:hAnsi="Arial" w:cs="Arial"/>
                <w:sz w:val="18"/>
                <w:szCs w:val="18"/>
                <w:lang w:val="en-GB" w:eastAsia="en-US"/>
              </w:rPr>
            </w:pPr>
            <w:r w:rsidRPr="00DC0988">
              <w:rPr>
                <w:rFonts w:ascii="Arial" w:hAnsi="Arial" w:cs="Arial"/>
                <w:sz w:val="18"/>
                <w:szCs w:val="18"/>
              </w:rPr>
              <w:t>MUSIC</w:t>
            </w:r>
          </w:p>
        </w:tc>
      </w:tr>
      <w:tr w:rsidR="005E70E1" w14:paraId="16330BAB" w14:textId="77777777" w:rsidTr="00C42E4F">
        <w:trPr>
          <w:jc w:val="center"/>
        </w:trPr>
        <w:tc>
          <w:tcPr>
            <w:tcW w:w="1985" w:type="dxa"/>
            <w:shd w:val="clear" w:color="auto" w:fill="auto"/>
            <w:vAlign w:val="center"/>
          </w:tcPr>
          <w:p w14:paraId="5472A135" w14:textId="77777777" w:rsidR="005E70E1" w:rsidRPr="00DC0988" w:rsidRDefault="00CA16F6" w:rsidP="00D40003">
            <w:pPr>
              <w:snapToGrid w:val="0"/>
              <w:spacing w:before="60" w:after="60"/>
              <w:jc w:val="center"/>
              <w:rPr>
                <w:rFonts w:ascii="Arial" w:hAnsi="Arial" w:cs="Arial"/>
                <w:b/>
                <w:sz w:val="18"/>
                <w:szCs w:val="18"/>
              </w:rPr>
            </w:pPr>
            <w:r w:rsidRPr="00DC0988">
              <w:rPr>
                <w:rFonts w:ascii="Arial" w:hAnsi="Arial" w:cs="Arial"/>
                <w:b/>
                <w:sz w:val="18"/>
                <w:szCs w:val="18"/>
              </w:rPr>
              <w:t>Description of positioning technique</w:t>
            </w:r>
          </w:p>
        </w:tc>
        <w:tc>
          <w:tcPr>
            <w:tcW w:w="5386" w:type="dxa"/>
            <w:shd w:val="clear" w:color="auto" w:fill="auto"/>
            <w:vAlign w:val="center"/>
          </w:tcPr>
          <w:p w14:paraId="4C9F4BFD" w14:textId="2F32064B" w:rsidR="005E70E1" w:rsidRPr="00DC0988" w:rsidRDefault="00CA16F6" w:rsidP="00D40003">
            <w:pPr>
              <w:snapToGrid w:val="0"/>
              <w:spacing w:before="60" w:after="60"/>
              <w:jc w:val="center"/>
              <w:rPr>
                <w:rFonts w:ascii="Arial" w:hAnsi="Arial" w:cs="Arial"/>
                <w:sz w:val="18"/>
                <w:szCs w:val="18"/>
              </w:rPr>
            </w:pPr>
            <w:r w:rsidRPr="00DC0988">
              <w:rPr>
                <w:rFonts w:ascii="Arial" w:hAnsi="Arial" w:cs="Arial"/>
                <w:sz w:val="18"/>
                <w:szCs w:val="18"/>
              </w:rPr>
              <w:t xml:space="preserve">TDOA, </w:t>
            </w:r>
            <w:r w:rsidR="005B0A70" w:rsidRPr="00DC0988">
              <w:rPr>
                <w:rFonts w:ascii="Arial" w:hAnsi="Arial" w:cs="Arial"/>
                <w:sz w:val="18"/>
                <w:szCs w:val="18"/>
              </w:rPr>
              <w:t>Particle Swarm optimization,</w:t>
            </w:r>
            <w:r w:rsidR="00B32369">
              <w:rPr>
                <w:rFonts w:ascii="Arial" w:hAnsi="Arial" w:cs="Arial"/>
                <w:sz w:val="18"/>
                <w:szCs w:val="18"/>
              </w:rPr>
              <w:t xml:space="preserve"> </w:t>
            </w:r>
            <w:r w:rsidR="005B0A70" w:rsidRPr="00DC0988">
              <w:rPr>
                <w:rFonts w:ascii="Arial" w:hAnsi="Arial" w:cs="Arial"/>
                <w:sz w:val="18"/>
                <w:szCs w:val="18"/>
              </w:rPr>
              <w:t>PSO</w:t>
            </w:r>
          </w:p>
        </w:tc>
      </w:tr>
    </w:tbl>
    <w:p w14:paraId="3F536208" w14:textId="77777777" w:rsidR="005E70E1" w:rsidRDefault="005E70E1" w:rsidP="00D40003">
      <w:pPr>
        <w:pStyle w:val="Style0"/>
        <w:rPr>
          <w:sz w:val="20"/>
          <w:szCs w:val="20"/>
        </w:rPr>
      </w:pPr>
    </w:p>
    <w:sectPr w:rsidR="005E70E1">
      <w:headerReference w:type="default" r:id="rId14"/>
      <w:pgSz w:w="11906" w:h="16838"/>
      <w:pgMar w:top="1440" w:right="1080" w:bottom="1440" w:left="1080" w:header="851" w:footer="992" w:gutter="0"/>
      <w:cols w:space="720"/>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D21451" w16cid:durableId="2710164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9D7EF8" w14:textId="77777777" w:rsidR="0076678A" w:rsidRDefault="0076678A">
      <w:pPr>
        <w:spacing w:after="0" w:line="240" w:lineRule="auto"/>
      </w:pPr>
      <w:r>
        <w:separator/>
      </w:r>
    </w:p>
  </w:endnote>
  <w:endnote w:type="continuationSeparator" w:id="0">
    <w:p w14:paraId="44E2CBD2" w14:textId="77777777" w:rsidR="0076678A" w:rsidRDefault="007667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9A0D0E" w14:textId="77777777" w:rsidR="0076678A" w:rsidRDefault="0076678A">
      <w:pPr>
        <w:spacing w:after="0" w:line="240" w:lineRule="auto"/>
      </w:pPr>
      <w:r>
        <w:separator/>
      </w:r>
    </w:p>
  </w:footnote>
  <w:footnote w:type="continuationSeparator" w:id="0">
    <w:p w14:paraId="141774C6" w14:textId="77777777" w:rsidR="0076678A" w:rsidRDefault="0076678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414F7" w14:textId="77777777" w:rsidR="005E70E1" w:rsidRDefault="005E70E1">
    <w:pPr>
      <w:pStyle w:val="a9"/>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FAE1895"/>
    <w:multiLevelType w:val="singleLevel"/>
    <w:tmpl w:val="DFAE1895"/>
    <w:lvl w:ilvl="0">
      <w:start w:val="1"/>
      <w:numFmt w:val="decimal"/>
      <w:suff w:val="space"/>
      <w:lvlText w:val="[%1]"/>
      <w:lvlJc w:val="left"/>
    </w:lvl>
  </w:abstractNum>
  <w:abstractNum w:abstractNumId="1" w15:restartNumberingAfterBreak="0">
    <w:nsid w:val="0DE83EA3"/>
    <w:multiLevelType w:val="multilevel"/>
    <w:tmpl w:val="0DE83E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00007DE"/>
    <w:multiLevelType w:val="multilevel"/>
    <w:tmpl w:val="02B8A11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5D177F5E"/>
    <w:multiLevelType w:val="multilevel"/>
    <w:tmpl w:val="5D177F5E"/>
    <w:lvl w:ilvl="0">
      <w:start w:val="1"/>
      <w:numFmt w:val="decimal"/>
      <w:pStyle w:val="Char"/>
      <w:lvlText w:val="%1."/>
      <w:lvlJc w:val="left"/>
      <w:pPr>
        <w:ind w:left="5179"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6E410A68"/>
    <w:multiLevelType w:val="multilevel"/>
    <w:tmpl w:val="6E410A68"/>
    <w:lvl w:ilvl="0">
      <w:start w:val="1"/>
      <w:numFmt w:val="bullet"/>
      <w:lvlText w:val="•"/>
      <w:lvlJc w:val="left"/>
      <w:pPr>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449"/>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28A"/>
    <w:rsid w:val="00025318"/>
    <w:rsid w:val="00025801"/>
    <w:rsid w:val="00026230"/>
    <w:rsid w:val="00026768"/>
    <w:rsid w:val="0002679A"/>
    <w:rsid w:val="00026EA0"/>
    <w:rsid w:val="00027B83"/>
    <w:rsid w:val="00027C1E"/>
    <w:rsid w:val="00027D4B"/>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15"/>
    <w:rsid w:val="00066D2A"/>
    <w:rsid w:val="0006765B"/>
    <w:rsid w:val="000676A9"/>
    <w:rsid w:val="000678E3"/>
    <w:rsid w:val="00067AD6"/>
    <w:rsid w:val="000705AF"/>
    <w:rsid w:val="00070AB6"/>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187"/>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0"/>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A7E"/>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0DF"/>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95B"/>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1E74"/>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38A"/>
    <w:rsid w:val="00257448"/>
    <w:rsid w:val="00257D1A"/>
    <w:rsid w:val="00257F57"/>
    <w:rsid w:val="00257FA6"/>
    <w:rsid w:val="002604E0"/>
    <w:rsid w:val="002609BA"/>
    <w:rsid w:val="00260B42"/>
    <w:rsid w:val="00260CB5"/>
    <w:rsid w:val="00260CF2"/>
    <w:rsid w:val="00260D6F"/>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A53"/>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94"/>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0C"/>
    <w:rsid w:val="002B14D6"/>
    <w:rsid w:val="002B16F9"/>
    <w:rsid w:val="002B253C"/>
    <w:rsid w:val="002B290F"/>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4F7D"/>
    <w:rsid w:val="002D51A8"/>
    <w:rsid w:val="002D52A2"/>
    <w:rsid w:val="002D52B2"/>
    <w:rsid w:val="002D5986"/>
    <w:rsid w:val="002D6192"/>
    <w:rsid w:val="002D6AB3"/>
    <w:rsid w:val="002D6BC0"/>
    <w:rsid w:val="002D6D4D"/>
    <w:rsid w:val="002D73D4"/>
    <w:rsid w:val="002D7412"/>
    <w:rsid w:val="002E024A"/>
    <w:rsid w:val="002E06DF"/>
    <w:rsid w:val="002E0836"/>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0E2B"/>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2900"/>
    <w:rsid w:val="00312F6D"/>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B5"/>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4FE"/>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7B8"/>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81"/>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42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47A2"/>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2E7"/>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A5B"/>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334"/>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4BBF"/>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A70"/>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4967"/>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0E1"/>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384F"/>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4B8"/>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C58"/>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BEC"/>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06"/>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78A"/>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492"/>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9B2"/>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367"/>
    <w:rsid w:val="008A44D5"/>
    <w:rsid w:val="008A4FCE"/>
    <w:rsid w:val="008A529A"/>
    <w:rsid w:val="008A550C"/>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2FAE"/>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0FC9"/>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84A"/>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92E"/>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CEA"/>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335"/>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987"/>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A55"/>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58B2"/>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4FB6"/>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369"/>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D51"/>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3EFA"/>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4A"/>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087"/>
    <w:rsid w:val="00BD11CC"/>
    <w:rsid w:val="00BD1669"/>
    <w:rsid w:val="00BD16C8"/>
    <w:rsid w:val="00BD16DA"/>
    <w:rsid w:val="00BD18A5"/>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256"/>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8E7"/>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7AD"/>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3E54"/>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2E4F"/>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3E1A"/>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6F6"/>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C8C"/>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56A"/>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8E"/>
    <w:rsid w:val="00D115D0"/>
    <w:rsid w:val="00D11C71"/>
    <w:rsid w:val="00D126DF"/>
    <w:rsid w:val="00D12711"/>
    <w:rsid w:val="00D12A04"/>
    <w:rsid w:val="00D12D4A"/>
    <w:rsid w:val="00D1319A"/>
    <w:rsid w:val="00D131A6"/>
    <w:rsid w:val="00D131A8"/>
    <w:rsid w:val="00D13707"/>
    <w:rsid w:val="00D1394C"/>
    <w:rsid w:val="00D13A8B"/>
    <w:rsid w:val="00D144A2"/>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003"/>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B3D"/>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0988"/>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723"/>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A2A"/>
    <w:rsid w:val="00E24F40"/>
    <w:rsid w:val="00E25013"/>
    <w:rsid w:val="00E25079"/>
    <w:rsid w:val="00E256E2"/>
    <w:rsid w:val="00E25AE3"/>
    <w:rsid w:val="00E25F00"/>
    <w:rsid w:val="00E26036"/>
    <w:rsid w:val="00E26862"/>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4F3"/>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7E5"/>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DDF"/>
    <w:rsid w:val="00F50F2D"/>
    <w:rsid w:val="00F5142F"/>
    <w:rsid w:val="00F5160D"/>
    <w:rsid w:val="00F5173F"/>
    <w:rsid w:val="00F51A88"/>
    <w:rsid w:val="00F51C45"/>
    <w:rsid w:val="00F51F33"/>
    <w:rsid w:val="00F51F55"/>
    <w:rsid w:val="00F5267A"/>
    <w:rsid w:val="00F526F7"/>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DF7"/>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4CA"/>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8F0"/>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4EC8"/>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B7946"/>
    <w:rsid w:val="01202899"/>
    <w:rsid w:val="012823DD"/>
    <w:rsid w:val="012A6A7A"/>
    <w:rsid w:val="013A4C94"/>
    <w:rsid w:val="01442D89"/>
    <w:rsid w:val="01547806"/>
    <w:rsid w:val="01594895"/>
    <w:rsid w:val="015C06BF"/>
    <w:rsid w:val="015F18F2"/>
    <w:rsid w:val="015F5FA3"/>
    <w:rsid w:val="016800B9"/>
    <w:rsid w:val="017059E0"/>
    <w:rsid w:val="01791D2E"/>
    <w:rsid w:val="01821D8F"/>
    <w:rsid w:val="018C2266"/>
    <w:rsid w:val="018C3642"/>
    <w:rsid w:val="018D7DCE"/>
    <w:rsid w:val="0195201D"/>
    <w:rsid w:val="019C3DA8"/>
    <w:rsid w:val="01A402CD"/>
    <w:rsid w:val="01A742A2"/>
    <w:rsid w:val="01BA60EA"/>
    <w:rsid w:val="01BE34DB"/>
    <w:rsid w:val="01BE6ACE"/>
    <w:rsid w:val="01C027D4"/>
    <w:rsid w:val="01C32135"/>
    <w:rsid w:val="01CB0428"/>
    <w:rsid w:val="01CB7A2C"/>
    <w:rsid w:val="01D518FC"/>
    <w:rsid w:val="01E1598F"/>
    <w:rsid w:val="01E268ED"/>
    <w:rsid w:val="01EB414A"/>
    <w:rsid w:val="01ED0229"/>
    <w:rsid w:val="01F33D9D"/>
    <w:rsid w:val="01F60577"/>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E58"/>
    <w:rsid w:val="03C0647A"/>
    <w:rsid w:val="03CD06E1"/>
    <w:rsid w:val="03CD6E1F"/>
    <w:rsid w:val="03D4427A"/>
    <w:rsid w:val="03DA2644"/>
    <w:rsid w:val="03E54642"/>
    <w:rsid w:val="03F54B29"/>
    <w:rsid w:val="03F81356"/>
    <w:rsid w:val="03F947E9"/>
    <w:rsid w:val="03FF3D36"/>
    <w:rsid w:val="04034FE6"/>
    <w:rsid w:val="040B2442"/>
    <w:rsid w:val="040C6238"/>
    <w:rsid w:val="041875C1"/>
    <w:rsid w:val="04193A43"/>
    <w:rsid w:val="04225784"/>
    <w:rsid w:val="04252816"/>
    <w:rsid w:val="043711E5"/>
    <w:rsid w:val="04376B0F"/>
    <w:rsid w:val="0444143C"/>
    <w:rsid w:val="0444783F"/>
    <w:rsid w:val="044753DC"/>
    <w:rsid w:val="045C0E21"/>
    <w:rsid w:val="045E1DEE"/>
    <w:rsid w:val="04605B56"/>
    <w:rsid w:val="04671100"/>
    <w:rsid w:val="046E568E"/>
    <w:rsid w:val="04786ED3"/>
    <w:rsid w:val="04856247"/>
    <w:rsid w:val="04865E52"/>
    <w:rsid w:val="048829D4"/>
    <w:rsid w:val="04975447"/>
    <w:rsid w:val="049B40DC"/>
    <w:rsid w:val="04D66461"/>
    <w:rsid w:val="051034CD"/>
    <w:rsid w:val="051F43BC"/>
    <w:rsid w:val="052432F7"/>
    <w:rsid w:val="05280A89"/>
    <w:rsid w:val="05367867"/>
    <w:rsid w:val="053E1AC2"/>
    <w:rsid w:val="0545651B"/>
    <w:rsid w:val="05583DC1"/>
    <w:rsid w:val="055A77BF"/>
    <w:rsid w:val="05734531"/>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16BC6"/>
    <w:rsid w:val="05E660EA"/>
    <w:rsid w:val="05E73462"/>
    <w:rsid w:val="05EE3B4E"/>
    <w:rsid w:val="05FA1213"/>
    <w:rsid w:val="05FF3135"/>
    <w:rsid w:val="060836A6"/>
    <w:rsid w:val="060D249E"/>
    <w:rsid w:val="06111076"/>
    <w:rsid w:val="062D742E"/>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9247F"/>
    <w:rsid w:val="06CD3A64"/>
    <w:rsid w:val="06E80EF4"/>
    <w:rsid w:val="06F30672"/>
    <w:rsid w:val="06F35A7A"/>
    <w:rsid w:val="06F35AB6"/>
    <w:rsid w:val="06F66B05"/>
    <w:rsid w:val="06FF51E1"/>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22DAF"/>
    <w:rsid w:val="078B062A"/>
    <w:rsid w:val="07916BE4"/>
    <w:rsid w:val="07992686"/>
    <w:rsid w:val="07A2728D"/>
    <w:rsid w:val="07AA3E51"/>
    <w:rsid w:val="07BE51B2"/>
    <w:rsid w:val="07D835FB"/>
    <w:rsid w:val="07DD018B"/>
    <w:rsid w:val="07E014BE"/>
    <w:rsid w:val="07E04AA8"/>
    <w:rsid w:val="07E51BB2"/>
    <w:rsid w:val="07E85751"/>
    <w:rsid w:val="07ED5339"/>
    <w:rsid w:val="07F97CF9"/>
    <w:rsid w:val="0800676F"/>
    <w:rsid w:val="08171593"/>
    <w:rsid w:val="0835476E"/>
    <w:rsid w:val="08367FC2"/>
    <w:rsid w:val="08391661"/>
    <w:rsid w:val="084E0029"/>
    <w:rsid w:val="08550FFB"/>
    <w:rsid w:val="085D6C7E"/>
    <w:rsid w:val="08611CAF"/>
    <w:rsid w:val="0865781A"/>
    <w:rsid w:val="0866133E"/>
    <w:rsid w:val="08692F64"/>
    <w:rsid w:val="087716A2"/>
    <w:rsid w:val="08780590"/>
    <w:rsid w:val="087A3AF7"/>
    <w:rsid w:val="087E046C"/>
    <w:rsid w:val="08813C88"/>
    <w:rsid w:val="08942BDF"/>
    <w:rsid w:val="089852F1"/>
    <w:rsid w:val="08990610"/>
    <w:rsid w:val="089B5449"/>
    <w:rsid w:val="089D6B7D"/>
    <w:rsid w:val="08B21918"/>
    <w:rsid w:val="08B40442"/>
    <w:rsid w:val="08B94847"/>
    <w:rsid w:val="08C14001"/>
    <w:rsid w:val="08D7362B"/>
    <w:rsid w:val="08F5200D"/>
    <w:rsid w:val="08F911CC"/>
    <w:rsid w:val="09016732"/>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3C3D64"/>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D4245"/>
    <w:rsid w:val="0AD57B82"/>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884E90"/>
    <w:rsid w:val="0B892782"/>
    <w:rsid w:val="0B936E39"/>
    <w:rsid w:val="0B9E13B0"/>
    <w:rsid w:val="0BB02C8B"/>
    <w:rsid w:val="0BB2460A"/>
    <w:rsid w:val="0BB41CFB"/>
    <w:rsid w:val="0BB53F3C"/>
    <w:rsid w:val="0BC739F0"/>
    <w:rsid w:val="0BD21910"/>
    <w:rsid w:val="0BDB5584"/>
    <w:rsid w:val="0BE03DAA"/>
    <w:rsid w:val="0BE17727"/>
    <w:rsid w:val="0BEC55E4"/>
    <w:rsid w:val="0BF427F9"/>
    <w:rsid w:val="0C0B2ABC"/>
    <w:rsid w:val="0C0C632D"/>
    <w:rsid w:val="0C120111"/>
    <w:rsid w:val="0C12447E"/>
    <w:rsid w:val="0C1D0A79"/>
    <w:rsid w:val="0C312090"/>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A1546A"/>
    <w:rsid w:val="0CA46672"/>
    <w:rsid w:val="0CA92BAC"/>
    <w:rsid w:val="0CB471A1"/>
    <w:rsid w:val="0CB90F2E"/>
    <w:rsid w:val="0CBB5A0F"/>
    <w:rsid w:val="0CCD3B1C"/>
    <w:rsid w:val="0CE06D15"/>
    <w:rsid w:val="0CE245F1"/>
    <w:rsid w:val="0CE4001E"/>
    <w:rsid w:val="0D0213CD"/>
    <w:rsid w:val="0D04575D"/>
    <w:rsid w:val="0D0612B8"/>
    <w:rsid w:val="0D066A9C"/>
    <w:rsid w:val="0D0714BC"/>
    <w:rsid w:val="0D0A683D"/>
    <w:rsid w:val="0D136EF9"/>
    <w:rsid w:val="0D1A52C8"/>
    <w:rsid w:val="0D1C1D16"/>
    <w:rsid w:val="0D21615D"/>
    <w:rsid w:val="0D2454BF"/>
    <w:rsid w:val="0D2765E4"/>
    <w:rsid w:val="0D2767B5"/>
    <w:rsid w:val="0D3E327E"/>
    <w:rsid w:val="0D432A3E"/>
    <w:rsid w:val="0D480AA9"/>
    <w:rsid w:val="0D5800C7"/>
    <w:rsid w:val="0D5B6E86"/>
    <w:rsid w:val="0D604B9B"/>
    <w:rsid w:val="0D672035"/>
    <w:rsid w:val="0D6A353C"/>
    <w:rsid w:val="0D826C81"/>
    <w:rsid w:val="0D904522"/>
    <w:rsid w:val="0D976014"/>
    <w:rsid w:val="0DA060E8"/>
    <w:rsid w:val="0DA57AAE"/>
    <w:rsid w:val="0DB76EF8"/>
    <w:rsid w:val="0DBF7C01"/>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81319"/>
    <w:rsid w:val="0E3217E8"/>
    <w:rsid w:val="0E387AA5"/>
    <w:rsid w:val="0E3E241A"/>
    <w:rsid w:val="0E3F0E9A"/>
    <w:rsid w:val="0E400D03"/>
    <w:rsid w:val="0E444008"/>
    <w:rsid w:val="0E485C9B"/>
    <w:rsid w:val="0E5E2B07"/>
    <w:rsid w:val="0E771E51"/>
    <w:rsid w:val="0E7A2A61"/>
    <w:rsid w:val="0E7C0762"/>
    <w:rsid w:val="0E8118C0"/>
    <w:rsid w:val="0E9A17E3"/>
    <w:rsid w:val="0EA11114"/>
    <w:rsid w:val="0EA35AC0"/>
    <w:rsid w:val="0EB34961"/>
    <w:rsid w:val="0EB9447E"/>
    <w:rsid w:val="0EC11B24"/>
    <w:rsid w:val="0EC468A2"/>
    <w:rsid w:val="0ECC4066"/>
    <w:rsid w:val="0ECE7C5F"/>
    <w:rsid w:val="0EDA48C8"/>
    <w:rsid w:val="0EF75D05"/>
    <w:rsid w:val="0EF957FE"/>
    <w:rsid w:val="0EFE2ACB"/>
    <w:rsid w:val="0F0D240A"/>
    <w:rsid w:val="0F0E2F3A"/>
    <w:rsid w:val="0F12247A"/>
    <w:rsid w:val="0F141BFB"/>
    <w:rsid w:val="0F1D0ECD"/>
    <w:rsid w:val="0F301A42"/>
    <w:rsid w:val="0F3452E0"/>
    <w:rsid w:val="0F364BC2"/>
    <w:rsid w:val="0F3A630E"/>
    <w:rsid w:val="0F3B1C05"/>
    <w:rsid w:val="0F455F85"/>
    <w:rsid w:val="0F49564D"/>
    <w:rsid w:val="0F4D1918"/>
    <w:rsid w:val="0F5075AE"/>
    <w:rsid w:val="0F521719"/>
    <w:rsid w:val="0F571705"/>
    <w:rsid w:val="0F584757"/>
    <w:rsid w:val="0F6A1108"/>
    <w:rsid w:val="0F704CEF"/>
    <w:rsid w:val="0F7514AB"/>
    <w:rsid w:val="0F7C4621"/>
    <w:rsid w:val="0F7D786D"/>
    <w:rsid w:val="0F7E4DAF"/>
    <w:rsid w:val="0F80243B"/>
    <w:rsid w:val="0F842AF1"/>
    <w:rsid w:val="0F8E6521"/>
    <w:rsid w:val="0F9A3D44"/>
    <w:rsid w:val="0FA26E81"/>
    <w:rsid w:val="0FAD0019"/>
    <w:rsid w:val="0FAD3299"/>
    <w:rsid w:val="0FB261C9"/>
    <w:rsid w:val="0FB31343"/>
    <w:rsid w:val="0FC12836"/>
    <w:rsid w:val="0FD91D6A"/>
    <w:rsid w:val="0FD95333"/>
    <w:rsid w:val="0FEC322B"/>
    <w:rsid w:val="0FEC6EF6"/>
    <w:rsid w:val="0FEE5D73"/>
    <w:rsid w:val="0FF827D2"/>
    <w:rsid w:val="10045EE6"/>
    <w:rsid w:val="100C1580"/>
    <w:rsid w:val="100D3B17"/>
    <w:rsid w:val="10154FE6"/>
    <w:rsid w:val="1023666E"/>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15230"/>
    <w:rsid w:val="11847341"/>
    <w:rsid w:val="11996649"/>
    <w:rsid w:val="11AA61BD"/>
    <w:rsid w:val="11AC7561"/>
    <w:rsid w:val="11AE6531"/>
    <w:rsid w:val="11AF439E"/>
    <w:rsid w:val="11B50817"/>
    <w:rsid w:val="11B66269"/>
    <w:rsid w:val="11BA0839"/>
    <w:rsid w:val="11CA3974"/>
    <w:rsid w:val="11D13AE4"/>
    <w:rsid w:val="11E4369D"/>
    <w:rsid w:val="11E43DAC"/>
    <w:rsid w:val="11EE4F27"/>
    <w:rsid w:val="11F267E8"/>
    <w:rsid w:val="11F427FC"/>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F0DB6"/>
    <w:rsid w:val="12420E79"/>
    <w:rsid w:val="125A02CC"/>
    <w:rsid w:val="12845278"/>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A62921"/>
    <w:rsid w:val="13AB3B97"/>
    <w:rsid w:val="13B35E26"/>
    <w:rsid w:val="13B42C01"/>
    <w:rsid w:val="13B66BD2"/>
    <w:rsid w:val="13BF66BA"/>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B43FA"/>
    <w:rsid w:val="149E0A7B"/>
    <w:rsid w:val="14A82A63"/>
    <w:rsid w:val="14A86EA4"/>
    <w:rsid w:val="14AC358C"/>
    <w:rsid w:val="14B76730"/>
    <w:rsid w:val="14C767C8"/>
    <w:rsid w:val="14DE753E"/>
    <w:rsid w:val="14F51028"/>
    <w:rsid w:val="14F5273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87FE5"/>
    <w:rsid w:val="157E21FE"/>
    <w:rsid w:val="1587411C"/>
    <w:rsid w:val="15A80FDC"/>
    <w:rsid w:val="15AA7A19"/>
    <w:rsid w:val="15AC5259"/>
    <w:rsid w:val="15AE02B1"/>
    <w:rsid w:val="15AE5475"/>
    <w:rsid w:val="15B06B12"/>
    <w:rsid w:val="15B75136"/>
    <w:rsid w:val="15BE3D9D"/>
    <w:rsid w:val="15C61DCD"/>
    <w:rsid w:val="15C95F6B"/>
    <w:rsid w:val="15D4474D"/>
    <w:rsid w:val="15D7597F"/>
    <w:rsid w:val="16007D67"/>
    <w:rsid w:val="160C437B"/>
    <w:rsid w:val="16160429"/>
    <w:rsid w:val="161C3234"/>
    <w:rsid w:val="163562A4"/>
    <w:rsid w:val="1641433F"/>
    <w:rsid w:val="164D6264"/>
    <w:rsid w:val="165511E0"/>
    <w:rsid w:val="165C4863"/>
    <w:rsid w:val="165F5560"/>
    <w:rsid w:val="1663476A"/>
    <w:rsid w:val="166C0D1B"/>
    <w:rsid w:val="166E1C29"/>
    <w:rsid w:val="16715B53"/>
    <w:rsid w:val="16727B66"/>
    <w:rsid w:val="167344C7"/>
    <w:rsid w:val="16780DA5"/>
    <w:rsid w:val="16794785"/>
    <w:rsid w:val="16853FE3"/>
    <w:rsid w:val="168F5C07"/>
    <w:rsid w:val="1695742C"/>
    <w:rsid w:val="169D1595"/>
    <w:rsid w:val="16A65B92"/>
    <w:rsid w:val="16AA56E3"/>
    <w:rsid w:val="16AD0A57"/>
    <w:rsid w:val="16BA18A0"/>
    <w:rsid w:val="16BD160C"/>
    <w:rsid w:val="16BE109A"/>
    <w:rsid w:val="16C2724F"/>
    <w:rsid w:val="16C41FCF"/>
    <w:rsid w:val="16D359B1"/>
    <w:rsid w:val="16D5544D"/>
    <w:rsid w:val="16D9147C"/>
    <w:rsid w:val="16DC6856"/>
    <w:rsid w:val="16DF721A"/>
    <w:rsid w:val="16E7220A"/>
    <w:rsid w:val="16F7773E"/>
    <w:rsid w:val="16FD7F89"/>
    <w:rsid w:val="170133DA"/>
    <w:rsid w:val="170259E1"/>
    <w:rsid w:val="17026088"/>
    <w:rsid w:val="170353FD"/>
    <w:rsid w:val="17056BCC"/>
    <w:rsid w:val="171053FC"/>
    <w:rsid w:val="1715378E"/>
    <w:rsid w:val="17256955"/>
    <w:rsid w:val="17343071"/>
    <w:rsid w:val="17350245"/>
    <w:rsid w:val="17382580"/>
    <w:rsid w:val="174D3983"/>
    <w:rsid w:val="17595246"/>
    <w:rsid w:val="175E4288"/>
    <w:rsid w:val="175F6489"/>
    <w:rsid w:val="176C704A"/>
    <w:rsid w:val="17844C56"/>
    <w:rsid w:val="179559A6"/>
    <w:rsid w:val="17957384"/>
    <w:rsid w:val="17A30F12"/>
    <w:rsid w:val="17BA48D6"/>
    <w:rsid w:val="17C535A1"/>
    <w:rsid w:val="17CC1D1C"/>
    <w:rsid w:val="17CD5EE0"/>
    <w:rsid w:val="17D07C2A"/>
    <w:rsid w:val="17D40766"/>
    <w:rsid w:val="17D47D7C"/>
    <w:rsid w:val="17D77CA7"/>
    <w:rsid w:val="17DD34AB"/>
    <w:rsid w:val="17F223D1"/>
    <w:rsid w:val="17FC272C"/>
    <w:rsid w:val="17FE0B0A"/>
    <w:rsid w:val="17FE0C9F"/>
    <w:rsid w:val="17FF3C9D"/>
    <w:rsid w:val="180A527C"/>
    <w:rsid w:val="18157481"/>
    <w:rsid w:val="181B3A35"/>
    <w:rsid w:val="18235E85"/>
    <w:rsid w:val="18331DAD"/>
    <w:rsid w:val="183E4121"/>
    <w:rsid w:val="18420253"/>
    <w:rsid w:val="184A67B9"/>
    <w:rsid w:val="18533B98"/>
    <w:rsid w:val="186B15D6"/>
    <w:rsid w:val="186C1DBE"/>
    <w:rsid w:val="186C5153"/>
    <w:rsid w:val="186E738D"/>
    <w:rsid w:val="187640ED"/>
    <w:rsid w:val="18804AA7"/>
    <w:rsid w:val="188C4F53"/>
    <w:rsid w:val="189E5F7A"/>
    <w:rsid w:val="18A16B9A"/>
    <w:rsid w:val="18A94FC3"/>
    <w:rsid w:val="18AB1905"/>
    <w:rsid w:val="18AC724D"/>
    <w:rsid w:val="18AF5199"/>
    <w:rsid w:val="18AF7C5B"/>
    <w:rsid w:val="18B417E1"/>
    <w:rsid w:val="18C9246D"/>
    <w:rsid w:val="18CC75E7"/>
    <w:rsid w:val="18D979C0"/>
    <w:rsid w:val="18E67034"/>
    <w:rsid w:val="18E872D7"/>
    <w:rsid w:val="18EA68A3"/>
    <w:rsid w:val="18F06558"/>
    <w:rsid w:val="18F3471F"/>
    <w:rsid w:val="18F6591A"/>
    <w:rsid w:val="18F931E6"/>
    <w:rsid w:val="18FA042B"/>
    <w:rsid w:val="18FE4771"/>
    <w:rsid w:val="19046384"/>
    <w:rsid w:val="19065891"/>
    <w:rsid w:val="19170951"/>
    <w:rsid w:val="19191340"/>
    <w:rsid w:val="19200B97"/>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A0432"/>
    <w:rsid w:val="196B2258"/>
    <w:rsid w:val="19720BF1"/>
    <w:rsid w:val="19764535"/>
    <w:rsid w:val="198374F4"/>
    <w:rsid w:val="1989194D"/>
    <w:rsid w:val="19894C83"/>
    <w:rsid w:val="19921A8A"/>
    <w:rsid w:val="19A7296F"/>
    <w:rsid w:val="19B94DE5"/>
    <w:rsid w:val="19BB7983"/>
    <w:rsid w:val="19CA4702"/>
    <w:rsid w:val="19D76F77"/>
    <w:rsid w:val="19DE7440"/>
    <w:rsid w:val="19ED386F"/>
    <w:rsid w:val="19F37DAD"/>
    <w:rsid w:val="19FC77ED"/>
    <w:rsid w:val="19FF1298"/>
    <w:rsid w:val="1A045B87"/>
    <w:rsid w:val="1A070D13"/>
    <w:rsid w:val="1A225E86"/>
    <w:rsid w:val="1A484A02"/>
    <w:rsid w:val="1A4D1CE1"/>
    <w:rsid w:val="1A4F6072"/>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03030"/>
    <w:rsid w:val="1AB359A1"/>
    <w:rsid w:val="1ABD31B9"/>
    <w:rsid w:val="1ABF3A95"/>
    <w:rsid w:val="1AC91D4C"/>
    <w:rsid w:val="1ACB7891"/>
    <w:rsid w:val="1ACE2A77"/>
    <w:rsid w:val="1AD03069"/>
    <w:rsid w:val="1AD55B02"/>
    <w:rsid w:val="1ADA6731"/>
    <w:rsid w:val="1ADC2627"/>
    <w:rsid w:val="1AF06C95"/>
    <w:rsid w:val="1AF34AE5"/>
    <w:rsid w:val="1AF3712C"/>
    <w:rsid w:val="1AF84C8C"/>
    <w:rsid w:val="1AFE2079"/>
    <w:rsid w:val="1B00502A"/>
    <w:rsid w:val="1B08241D"/>
    <w:rsid w:val="1B082CC4"/>
    <w:rsid w:val="1B0B3B20"/>
    <w:rsid w:val="1B1613A0"/>
    <w:rsid w:val="1B2A7E36"/>
    <w:rsid w:val="1B2F42C3"/>
    <w:rsid w:val="1B324397"/>
    <w:rsid w:val="1B372EB9"/>
    <w:rsid w:val="1B39636C"/>
    <w:rsid w:val="1B40005E"/>
    <w:rsid w:val="1B4268B4"/>
    <w:rsid w:val="1B427936"/>
    <w:rsid w:val="1B5D3106"/>
    <w:rsid w:val="1B7906CE"/>
    <w:rsid w:val="1B7D07F3"/>
    <w:rsid w:val="1B831B2B"/>
    <w:rsid w:val="1B944685"/>
    <w:rsid w:val="1BA258AE"/>
    <w:rsid w:val="1BA57F07"/>
    <w:rsid w:val="1BAA3905"/>
    <w:rsid w:val="1BB01F6E"/>
    <w:rsid w:val="1BB81DD8"/>
    <w:rsid w:val="1BB848C7"/>
    <w:rsid w:val="1BB86F3A"/>
    <w:rsid w:val="1BCA7505"/>
    <w:rsid w:val="1BD91032"/>
    <w:rsid w:val="1BF768CD"/>
    <w:rsid w:val="1BF92025"/>
    <w:rsid w:val="1BF9326D"/>
    <w:rsid w:val="1C036FDA"/>
    <w:rsid w:val="1C0730F3"/>
    <w:rsid w:val="1C08111C"/>
    <w:rsid w:val="1C0B33CB"/>
    <w:rsid w:val="1C0D0258"/>
    <w:rsid w:val="1C0D60C9"/>
    <w:rsid w:val="1C206F7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C453E"/>
    <w:rsid w:val="1CCD6D74"/>
    <w:rsid w:val="1CD97139"/>
    <w:rsid w:val="1CDB7957"/>
    <w:rsid w:val="1CDD0F84"/>
    <w:rsid w:val="1CE2616E"/>
    <w:rsid w:val="1CF333A5"/>
    <w:rsid w:val="1D023336"/>
    <w:rsid w:val="1D031DDA"/>
    <w:rsid w:val="1D0B731D"/>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C6E19"/>
    <w:rsid w:val="1D8F5B72"/>
    <w:rsid w:val="1D8F6826"/>
    <w:rsid w:val="1D9C5DA0"/>
    <w:rsid w:val="1D9C7126"/>
    <w:rsid w:val="1D9F462B"/>
    <w:rsid w:val="1DA265B5"/>
    <w:rsid w:val="1DB26ED0"/>
    <w:rsid w:val="1DB835A9"/>
    <w:rsid w:val="1DC603E1"/>
    <w:rsid w:val="1DEC45ED"/>
    <w:rsid w:val="1E1D7E95"/>
    <w:rsid w:val="1E201A27"/>
    <w:rsid w:val="1E224747"/>
    <w:rsid w:val="1E304B88"/>
    <w:rsid w:val="1E3E02E7"/>
    <w:rsid w:val="1E6703B7"/>
    <w:rsid w:val="1E680B85"/>
    <w:rsid w:val="1E6A61E3"/>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551FB"/>
    <w:rsid w:val="1EE6740D"/>
    <w:rsid w:val="1EEC1621"/>
    <w:rsid w:val="1EED7A29"/>
    <w:rsid w:val="1F0D14F3"/>
    <w:rsid w:val="1F141EF2"/>
    <w:rsid w:val="1F210D56"/>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B49F4"/>
    <w:rsid w:val="1F7959F4"/>
    <w:rsid w:val="1F7C19E4"/>
    <w:rsid w:val="1F83562C"/>
    <w:rsid w:val="1F8A5F10"/>
    <w:rsid w:val="1FA82FF9"/>
    <w:rsid w:val="1FAC192E"/>
    <w:rsid w:val="1FAD796D"/>
    <w:rsid w:val="1FB260BE"/>
    <w:rsid w:val="1FB54204"/>
    <w:rsid w:val="1FB63655"/>
    <w:rsid w:val="1FBD7AAE"/>
    <w:rsid w:val="1FBE77B2"/>
    <w:rsid w:val="1FC26AB9"/>
    <w:rsid w:val="1FC46F9E"/>
    <w:rsid w:val="1FC511F0"/>
    <w:rsid w:val="1FC7659B"/>
    <w:rsid w:val="1FE045AC"/>
    <w:rsid w:val="1FE40D72"/>
    <w:rsid w:val="1FE76FD3"/>
    <w:rsid w:val="1FE91483"/>
    <w:rsid w:val="1FED166B"/>
    <w:rsid w:val="1FF05FBA"/>
    <w:rsid w:val="1FF2649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F3189"/>
    <w:rsid w:val="21504A40"/>
    <w:rsid w:val="215F7E39"/>
    <w:rsid w:val="217C7971"/>
    <w:rsid w:val="217D44BC"/>
    <w:rsid w:val="21936BCB"/>
    <w:rsid w:val="219619F8"/>
    <w:rsid w:val="21997056"/>
    <w:rsid w:val="219B2AEE"/>
    <w:rsid w:val="219D3F2A"/>
    <w:rsid w:val="21AB4F6A"/>
    <w:rsid w:val="21AB77F7"/>
    <w:rsid w:val="21AD30AE"/>
    <w:rsid w:val="21B50781"/>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101F8E"/>
    <w:rsid w:val="221E498F"/>
    <w:rsid w:val="2225227E"/>
    <w:rsid w:val="22315922"/>
    <w:rsid w:val="22343124"/>
    <w:rsid w:val="223A219C"/>
    <w:rsid w:val="224E39DE"/>
    <w:rsid w:val="224E74D0"/>
    <w:rsid w:val="225C1E49"/>
    <w:rsid w:val="227F5037"/>
    <w:rsid w:val="228041D7"/>
    <w:rsid w:val="228A008B"/>
    <w:rsid w:val="228D63FC"/>
    <w:rsid w:val="229A7E25"/>
    <w:rsid w:val="22AA0362"/>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566DDF"/>
    <w:rsid w:val="23572E7E"/>
    <w:rsid w:val="235924CA"/>
    <w:rsid w:val="23592D87"/>
    <w:rsid w:val="235F162F"/>
    <w:rsid w:val="23673863"/>
    <w:rsid w:val="236A053E"/>
    <w:rsid w:val="236D4F13"/>
    <w:rsid w:val="237B7D6C"/>
    <w:rsid w:val="23837B67"/>
    <w:rsid w:val="23857493"/>
    <w:rsid w:val="238755B6"/>
    <w:rsid w:val="23885214"/>
    <w:rsid w:val="238B65DE"/>
    <w:rsid w:val="238D7AEF"/>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67266"/>
    <w:rsid w:val="246E05AE"/>
    <w:rsid w:val="24731A96"/>
    <w:rsid w:val="247973F2"/>
    <w:rsid w:val="247A5C3A"/>
    <w:rsid w:val="247C5EE2"/>
    <w:rsid w:val="247F6CC6"/>
    <w:rsid w:val="24837A35"/>
    <w:rsid w:val="24857E83"/>
    <w:rsid w:val="248654B3"/>
    <w:rsid w:val="248907B2"/>
    <w:rsid w:val="249A5E20"/>
    <w:rsid w:val="249C2676"/>
    <w:rsid w:val="249C6208"/>
    <w:rsid w:val="249E39E8"/>
    <w:rsid w:val="24A20ED0"/>
    <w:rsid w:val="24A34E4A"/>
    <w:rsid w:val="24AC41BF"/>
    <w:rsid w:val="24BD38BA"/>
    <w:rsid w:val="24C0685F"/>
    <w:rsid w:val="24CD37D4"/>
    <w:rsid w:val="24D20A06"/>
    <w:rsid w:val="24D51CDF"/>
    <w:rsid w:val="24E57853"/>
    <w:rsid w:val="24F17428"/>
    <w:rsid w:val="250253B9"/>
    <w:rsid w:val="250C5C6A"/>
    <w:rsid w:val="251E0656"/>
    <w:rsid w:val="252053F9"/>
    <w:rsid w:val="25304AD5"/>
    <w:rsid w:val="25395126"/>
    <w:rsid w:val="25467DBB"/>
    <w:rsid w:val="25473E3C"/>
    <w:rsid w:val="254C4068"/>
    <w:rsid w:val="254E34FC"/>
    <w:rsid w:val="25515E07"/>
    <w:rsid w:val="25584ADE"/>
    <w:rsid w:val="255E0BEA"/>
    <w:rsid w:val="256343AC"/>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A4288C"/>
    <w:rsid w:val="26A63366"/>
    <w:rsid w:val="26A968B5"/>
    <w:rsid w:val="26AC5BFD"/>
    <w:rsid w:val="26BA59F2"/>
    <w:rsid w:val="26C36DE5"/>
    <w:rsid w:val="26C3702C"/>
    <w:rsid w:val="26C9404D"/>
    <w:rsid w:val="26CD53A8"/>
    <w:rsid w:val="26D323BB"/>
    <w:rsid w:val="26D45590"/>
    <w:rsid w:val="26E35D5D"/>
    <w:rsid w:val="26F40E3F"/>
    <w:rsid w:val="26F40EBD"/>
    <w:rsid w:val="26FA2DE3"/>
    <w:rsid w:val="26FF74CD"/>
    <w:rsid w:val="27121C64"/>
    <w:rsid w:val="27125B0D"/>
    <w:rsid w:val="27130E1A"/>
    <w:rsid w:val="27222699"/>
    <w:rsid w:val="272A3F42"/>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91021"/>
    <w:rsid w:val="27BE074A"/>
    <w:rsid w:val="27C06D17"/>
    <w:rsid w:val="27C66099"/>
    <w:rsid w:val="27CA7CDA"/>
    <w:rsid w:val="27FE4240"/>
    <w:rsid w:val="280008FF"/>
    <w:rsid w:val="28050D91"/>
    <w:rsid w:val="280F7BFD"/>
    <w:rsid w:val="281035C6"/>
    <w:rsid w:val="28140E2A"/>
    <w:rsid w:val="28255041"/>
    <w:rsid w:val="28255C53"/>
    <w:rsid w:val="283A1E3E"/>
    <w:rsid w:val="284543A1"/>
    <w:rsid w:val="28553E1D"/>
    <w:rsid w:val="286B3B61"/>
    <w:rsid w:val="28765DD5"/>
    <w:rsid w:val="28821314"/>
    <w:rsid w:val="2891501A"/>
    <w:rsid w:val="28937E6D"/>
    <w:rsid w:val="28950D96"/>
    <w:rsid w:val="28AD2029"/>
    <w:rsid w:val="28B0025C"/>
    <w:rsid w:val="28B220F4"/>
    <w:rsid w:val="28C075A4"/>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A5BC8"/>
    <w:rsid w:val="29504176"/>
    <w:rsid w:val="295968BD"/>
    <w:rsid w:val="296865F6"/>
    <w:rsid w:val="296B20A7"/>
    <w:rsid w:val="297D1A8B"/>
    <w:rsid w:val="29981CF5"/>
    <w:rsid w:val="29A4634A"/>
    <w:rsid w:val="29A84DD1"/>
    <w:rsid w:val="29AA2390"/>
    <w:rsid w:val="29B85AFC"/>
    <w:rsid w:val="29BB74AF"/>
    <w:rsid w:val="29BC2AA4"/>
    <w:rsid w:val="29CD2270"/>
    <w:rsid w:val="29D22D87"/>
    <w:rsid w:val="29DA58FD"/>
    <w:rsid w:val="29DB020F"/>
    <w:rsid w:val="29EA021B"/>
    <w:rsid w:val="29EB2636"/>
    <w:rsid w:val="29ED4F50"/>
    <w:rsid w:val="29F26903"/>
    <w:rsid w:val="2A06427E"/>
    <w:rsid w:val="2A0F1A72"/>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81B8E"/>
    <w:rsid w:val="2AAA29AB"/>
    <w:rsid w:val="2AAC36BD"/>
    <w:rsid w:val="2AB04937"/>
    <w:rsid w:val="2AB86677"/>
    <w:rsid w:val="2ABC2E55"/>
    <w:rsid w:val="2ACF5AEC"/>
    <w:rsid w:val="2AD62AB0"/>
    <w:rsid w:val="2ADC1447"/>
    <w:rsid w:val="2ADE1583"/>
    <w:rsid w:val="2AE70523"/>
    <w:rsid w:val="2AF12CDF"/>
    <w:rsid w:val="2AF27DCB"/>
    <w:rsid w:val="2B0726A6"/>
    <w:rsid w:val="2B0C6B23"/>
    <w:rsid w:val="2B1D6F4B"/>
    <w:rsid w:val="2B2D1363"/>
    <w:rsid w:val="2B306C2A"/>
    <w:rsid w:val="2B335E16"/>
    <w:rsid w:val="2B42025A"/>
    <w:rsid w:val="2B450516"/>
    <w:rsid w:val="2B4526E2"/>
    <w:rsid w:val="2B4722C4"/>
    <w:rsid w:val="2B4F36CA"/>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64A3E"/>
    <w:rsid w:val="2BEC4F7F"/>
    <w:rsid w:val="2BF01DD3"/>
    <w:rsid w:val="2BF51B27"/>
    <w:rsid w:val="2C11705A"/>
    <w:rsid w:val="2C1216FD"/>
    <w:rsid w:val="2C1F2C4F"/>
    <w:rsid w:val="2C253658"/>
    <w:rsid w:val="2C395B9E"/>
    <w:rsid w:val="2C3C5EFC"/>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40857"/>
    <w:rsid w:val="2D590555"/>
    <w:rsid w:val="2D726428"/>
    <w:rsid w:val="2D7A06F1"/>
    <w:rsid w:val="2D8151A4"/>
    <w:rsid w:val="2DA02E9C"/>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A5E34"/>
    <w:rsid w:val="2E7B65BB"/>
    <w:rsid w:val="2E855C37"/>
    <w:rsid w:val="2E8F09A4"/>
    <w:rsid w:val="2E993370"/>
    <w:rsid w:val="2E9A086A"/>
    <w:rsid w:val="2EA049A8"/>
    <w:rsid w:val="2EA26ABE"/>
    <w:rsid w:val="2EA74B75"/>
    <w:rsid w:val="2EB61295"/>
    <w:rsid w:val="2EC414ED"/>
    <w:rsid w:val="2EC71A13"/>
    <w:rsid w:val="2EDC714E"/>
    <w:rsid w:val="2EEA307E"/>
    <w:rsid w:val="2EEF6737"/>
    <w:rsid w:val="2EF276DC"/>
    <w:rsid w:val="2EF53C20"/>
    <w:rsid w:val="2EFC5DDD"/>
    <w:rsid w:val="2F002CCF"/>
    <w:rsid w:val="2F0160A3"/>
    <w:rsid w:val="2F177DD6"/>
    <w:rsid w:val="2F18561C"/>
    <w:rsid w:val="2F1A491A"/>
    <w:rsid w:val="2F2960CC"/>
    <w:rsid w:val="2F2F3D52"/>
    <w:rsid w:val="2F3B7B8B"/>
    <w:rsid w:val="2F44254B"/>
    <w:rsid w:val="2F4530B9"/>
    <w:rsid w:val="2F4B7821"/>
    <w:rsid w:val="2F526911"/>
    <w:rsid w:val="2F5741FD"/>
    <w:rsid w:val="2F57587A"/>
    <w:rsid w:val="2F615954"/>
    <w:rsid w:val="2F712CF7"/>
    <w:rsid w:val="2F805714"/>
    <w:rsid w:val="2F8640C4"/>
    <w:rsid w:val="2F8E5F5C"/>
    <w:rsid w:val="2F921FAC"/>
    <w:rsid w:val="2FA21231"/>
    <w:rsid w:val="2FAD4759"/>
    <w:rsid w:val="2FAD5866"/>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500A5C"/>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AB3C43"/>
    <w:rsid w:val="31B23BA8"/>
    <w:rsid w:val="31C363A1"/>
    <w:rsid w:val="31CA5CF8"/>
    <w:rsid w:val="31CB26CD"/>
    <w:rsid w:val="31D06A52"/>
    <w:rsid w:val="31E302B9"/>
    <w:rsid w:val="31F20023"/>
    <w:rsid w:val="31FA7AEE"/>
    <w:rsid w:val="31FB60C5"/>
    <w:rsid w:val="3209100C"/>
    <w:rsid w:val="321E250B"/>
    <w:rsid w:val="32226597"/>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46A84"/>
    <w:rsid w:val="32B22C9D"/>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53FC5"/>
    <w:rsid w:val="331B37C6"/>
    <w:rsid w:val="331C390F"/>
    <w:rsid w:val="333A0536"/>
    <w:rsid w:val="333E0FE1"/>
    <w:rsid w:val="334D7767"/>
    <w:rsid w:val="33610DDA"/>
    <w:rsid w:val="3362171F"/>
    <w:rsid w:val="3366319E"/>
    <w:rsid w:val="33767D1F"/>
    <w:rsid w:val="337F446B"/>
    <w:rsid w:val="338E29B0"/>
    <w:rsid w:val="339902E6"/>
    <w:rsid w:val="339D35FC"/>
    <w:rsid w:val="33A156DE"/>
    <w:rsid w:val="33B52233"/>
    <w:rsid w:val="33B545C5"/>
    <w:rsid w:val="33B70359"/>
    <w:rsid w:val="33BA1B32"/>
    <w:rsid w:val="33C55CF6"/>
    <w:rsid w:val="33CB205A"/>
    <w:rsid w:val="33D451B9"/>
    <w:rsid w:val="33E20DF0"/>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33617"/>
    <w:rsid w:val="345543D1"/>
    <w:rsid w:val="345A7367"/>
    <w:rsid w:val="345D2CD0"/>
    <w:rsid w:val="346C0AEA"/>
    <w:rsid w:val="347F540F"/>
    <w:rsid w:val="347F7C43"/>
    <w:rsid w:val="34863322"/>
    <w:rsid w:val="34885DB3"/>
    <w:rsid w:val="348F7A0E"/>
    <w:rsid w:val="349A0B7D"/>
    <w:rsid w:val="34A851E8"/>
    <w:rsid w:val="34B51A96"/>
    <w:rsid w:val="34C800BD"/>
    <w:rsid w:val="34CC1DC7"/>
    <w:rsid w:val="34D47C8A"/>
    <w:rsid w:val="34DB0CAC"/>
    <w:rsid w:val="34DD3DF9"/>
    <w:rsid w:val="34E972FC"/>
    <w:rsid w:val="34F83EF3"/>
    <w:rsid w:val="34F953E0"/>
    <w:rsid w:val="34FE2811"/>
    <w:rsid w:val="34FF2166"/>
    <w:rsid w:val="350B69C5"/>
    <w:rsid w:val="351C075B"/>
    <w:rsid w:val="35233F18"/>
    <w:rsid w:val="3524348B"/>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D2AEE"/>
    <w:rsid w:val="35EA6509"/>
    <w:rsid w:val="35ED04DC"/>
    <w:rsid w:val="35F44E5C"/>
    <w:rsid w:val="35F45994"/>
    <w:rsid w:val="35F637A3"/>
    <w:rsid w:val="3602050E"/>
    <w:rsid w:val="36101A49"/>
    <w:rsid w:val="36170C33"/>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F414F3"/>
    <w:rsid w:val="37002C93"/>
    <w:rsid w:val="370974B4"/>
    <w:rsid w:val="370E6CCD"/>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772DD"/>
    <w:rsid w:val="378A731A"/>
    <w:rsid w:val="378E3617"/>
    <w:rsid w:val="37931A90"/>
    <w:rsid w:val="37A4082B"/>
    <w:rsid w:val="37A4627C"/>
    <w:rsid w:val="37A530D5"/>
    <w:rsid w:val="37A643C8"/>
    <w:rsid w:val="37AE534B"/>
    <w:rsid w:val="37B1214B"/>
    <w:rsid w:val="37B5292C"/>
    <w:rsid w:val="37BA6351"/>
    <w:rsid w:val="37C93B72"/>
    <w:rsid w:val="37CE582E"/>
    <w:rsid w:val="37D644F2"/>
    <w:rsid w:val="37D647D6"/>
    <w:rsid w:val="37E22653"/>
    <w:rsid w:val="37EF1B98"/>
    <w:rsid w:val="37F311D3"/>
    <w:rsid w:val="37F7242F"/>
    <w:rsid w:val="37FD1EC6"/>
    <w:rsid w:val="380579FE"/>
    <w:rsid w:val="380722E0"/>
    <w:rsid w:val="380A2EB4"/>
    <w:rsid w:val="38157509"/>
    <w:rsid w:val="381D5340"/>
    <w:rsid w:val="382150C9"/>
    <w:rsid w:val="382372FE"/>
    <w:rsid w:val="38284CDE"/>
    <w:rsid w:val="382D297A"/>
    <w:rsid w:val="382F19E6"/>
    <w:rsid w:val="383A0A88"/>
    <w:rsid w:val="383B2EED"/>
    <w:rsid w:val="384C2D57"/>
    <w:rsid w:val="38557E21"/>
    <w:rsid w:val="3856501D"/>
    <w:rsid w:val="38590DD6"/>
    <w:rsid w:val="385F47DB"/>
    <w:rsid w:val="386A1921"/>
    <w:rsid w:val="386B37B5"/>
    <w:rsid w:val="386B38FB"/>
    <w:rsid w:val="38775820"/>
    <w:rsid w:val="387F0A30"/>
    <w:rsid w:val="38876F05"/>
    <w:rsid w:val="38894DA5"/>
    <w:rsid w:val="389121D9"/>
    <w:rsid w:val="38913DAB"/>
    <w:rsid w:val="38981AB5"/>
    <w:rsid w:val="38A40C18"/>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F50C85"/>
    <w:rsid w:val="39065A02"/>
    <w:rsid w:val="392B6A4C"/>
    <w:rsid w:val="393544DD"/>
    <w:rsid w:val="393962EC"/>
    <w:rsid w:val="393F6CD7"/>
    <w:rsid w:val="39454899"/>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12F6"/>
    <w:rsid w:val="39DD49C2"/>
    <w:rsid w:val="39DD4ACE"/>
    <w:rsid w:val="39E02BA8"/>
    <w:rsid w:val="39E70CEA"/>
    <w:rsid w:val="39E9070B"/>
    <w:rsid w:val="39EC7454"/>
    <w:rsid w:val="39FD2FB3"/>
    <w:rsid w:val="3A026596"/>
    <w:rsid w:val="3A04252C"/>
    <w:rsid w:val="3A082ABE"/>
    <w:rsid w:val="3A0E766B"/>
    <w:rsid w:val="3A101C68"/>
    <w:rsid w:val="3A181AC2"/>
    <w:rsid w:val="3A1A155D"/>
    <w:rsid w:val="3A237175"/>
    <w:rsid w:val="3A616CAD"/>
    <w:rsid w:val="3A711C68"/>
    <w:rsid w:val="3A7927E8"/>
    <w:rsid w:val="3A796E46"/>
    <w:rsid w:val="3A8A33CD"/>
    <w:rsid w:val="3A8B3C77"/>
    <w:rsid w:val="3A971F5B"/>
    <w:rsid w:val="3A9A224E"/>
    <w:rsid w:val="3A9C1F8C"/>
    <w:rsid w:val="3A9D2551"/>
    <w:rsid w:val="3AA15A8E"/>
    <w:rsid w:val="3AA90278"/>
    <w:rsid w:val="3AA97F70"/>
    <w:rsid w:val="3AB26A14"/>
    <w:rsid w:val="3ABA0945"/>
    <w:rsid w:val="3ABE76C3"/>
    <w:rsid w:val="3ABF42F5"/>
    <w:rsid w:val="3ACE7D16"/>
    <w:rsid w:val="3AD73D23"/>
    <w:rsid w:val="3AE6135E"/>
    <w:rsid w:val="3AEB7C80"/>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E261D"/>
    <w:rsid w:val="3B5F14B4"/>
    <w:rsid w:val="3B616FBE"/>
    <w:rsid w:val="3B683A4D"/>
    <w:rsid w:val="3B6A3CF4"/>
    <w:rsid w:val="3B6D5AE8"/>
    <w:rsid w:val="3B6F5B73"/>
    <w:rsid w:val="3B70725E"/>
    <w:rsid w:val="3B7B1D0B"/>
    <w:rsid w:val="3B873119"/>
    <w:rsid w:val="3B9271C8"/>
    <w:rsid w:val="3B9C2663"/>
    <w:rsid w:val="3BA17E84"/>
    <w:rsid w:val="3BA35FC1"/>
    <w:rsid w:val="3BA566FD"/>
    <w:rsid w:val="3BA7008A"/>
    <w:rsid w:val="3BB47D9F"/>
    <w:rsid w:val="3BD039A1"/>
    <w:rsid w:val="3BDE5F43"/>
    <w:rsid w:val="3BE61119"/>
    <w:rsid w:val="3BE745F7"/>
    <w:rsid w:val="3BF10AAD"/>
    <w:rsid w:val="3BFA10FC"/>
    <w:rsid w:val="3C032713"/>
    <w:rsid w:val="3C042946"/>
    <w:rsid w:val="3C070D59"/>
    <w:rsid w:val="3C074961"/>
    <w:rsid w:val="3C0E09BE"/>
    <w:rsid w:val="3C0F1954"/>
    <w:rsid w:val="3C1071B6"/>
    <w:rsid w:val="3C1E391D"/>
    <w:rsid w:val="3C21000D"/>
    <w:rsid w:val="3C294498"/>
    <w:rsid w:val="3C2D5003"/>
    <w:rsid w:val="3C333216"/>
    <w:rsid w:val="3C36018F"/>
    <w:rsid w:val="3C3B0B4B"/>
    <w:rsid w:val="3C3D016E"/>
    <w:rsid w:val="3C4864AA"/>
    <w:rsid w:val="3C4F7D80"/>
    <w:rsid w:val="3C60765D"/>
    <w:rsid w:val="3C64689F"/>
    <w:rsid w:val="3C6E7D4D"/>
    <w:rsid w:val="3C740DAA"/>
    <w:rsid w:val="3C750E34"/>
    <w:rsid w:val="3C7E65EC"/>
    <w:rsid w:val="3C812838"/>
    <w:rsid w:val="3C8555A2"/>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619DB"/>
    <w:rsid w:val="3CF86E9C"/>
    <w:rsid w:val="3CFD37E7"/>
    <w:rsid w:val="3CFE44BF"/>
    <w:rsid w:val="3D035272"/>
    <w:rsid w:val="3D0F1231"/>
    <w:rsid w:val="3D184661"/>
    <w:rsid w:val="3D200D7C"/>
    <w:rsid w:val="3D250930"/>
    <w:rsid w:val="3D272F24"/>
    <w:rsid w:val="3D47670E"/>
    <w:rsid w:val="3D4D7CF8"/>
    <w:rsid w:val="3D58163A"/>
    <w:rsid w:val="3D5A05E2"/>
    <w:rsid w:val="3D5C63D4"/>
    <w:rsid w:val="3D5E50E6"/>
    <w:rsid w:val="3D5F6029"/>
    <w:rsid w:val="3D6223C0"/>
    <w:rsid w:val="3D7618FA"/>
    <w:rsid w:val="3D766E42"/>
    <w:rsid w:val="3D791797"/>
    <w:rsid w:val="3D832B00"/>
    <w:rsid w:val="3D8522AA"/>
    <w:rsid w:val="3D8A0C19"/>
    <w:rsid w:val="3D9816B4"/>
    <w:rsid w:val="3D990197"/>
    <w:rsid w:val="3D9A0655"/>
    <w:rsid w:val="3DA30F47"/>
    <w:rsid w:val="3DB17297"/>
    <w:rsid w:val="3DCD6921"/>
    <w:rsid w:val="3DD67156"/>
    <w:rsid w:val="3DD745F2"/>
    <w:rsid w:val="3DE37514"/>
    <w:rsid w:val="3DE548AC"/>
    <w:rsid w:val="3DE653F8"/>
    <w:rsid w:val="3DE72673"/>
    <w:rsid w:val="3DEB1255"/>
    <w:rsid w:val="3DEE1FBE"/>
    <w:rsid w:val="3E016DBB"/>
    <w:rsid w:val="3E0448CB"/>
    <w:rsid w:val="3E073B6A"/>
    <w:rsid w:val="3E0918A5"/>
    <w:rsid w:val="3E0F25EA"/>
    <w:rsid w:val="3E146F59"/>
    <w:rsid w:val="3E197897"/>
    <w:rsid w:val="3E22755F"/>
    <w:rsid w:val="3E237BCC"/>
    <w:rsid w:val="3E255AC9"/>
    <w:rsid w:val="3E3419DC"/>
    <w:rsid w:val="3E3C5F3C"/>
    <w:rsid w:val="3E463CA5"/>
    <w:rsid w:val="3E4B2DC3"/>
    <w:rsid w:val="3E5B12DC"/>
    <w:rsid w:val="3E623E46"/>
    <w:rsid w:val="3E63159D"/>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7F2"/>
    <w:rsid w:val="3EC80A9D"/>
    <w:rsid w:val="3ECD06E3"/>
    <w:rsid w:val="3ECF0F50"/>
    <w:rsid w:val="3ECF234A"/>
    <w:rsid w:val="3ED671CD"/>
    <w:rsid w:val="3EE14A57"/>
    <w:rsid w:val="3EE21263"/>
    <w:rsid w:val="3EF36AD8"/>
    <w:rsid w:val="3EF62480"/>
    <w:rsid w:val="3EFB57DC"/>
    <w:rsid w:val="3F0572F1"/>
    <w:rsid w:val="3F144192"/>
    <w:rsid w:val="3F1F30A0"/>
    <w:rsid w:val="3F217DDA"/>
    <w:rsid w:val="3F2B184D"/>
    <w:rsid w:val="3F2C7646"/>
    <w:rsid w:val="3F441B08"/>
    <w:rsid w:val="3F4A4087"/>
    <w:rsid w:val="3F5361F5"/>
    <w:rsid w:val="3F6B3632"/>
    <w:rsid w:val="3F6F2B6A"/>
    <w:rsid w:val="3F7379C8"/>
    <w:rsid w:val="3F776E0A"/>
    <w:rsid w:val="3F952814"/>
    <w:rsid w:val="3F9C0821"/>
    <w:rsid w:val="3FA41C63"/>
    <w:rsid w:val="3FAB100B"/>
    <w:rsid w:val="3FAB3D87"/>
    <w:rsid w:val="3FAB41A2"/>
    <w:rsid w:val="3FAE47F6"/>
    <w:rsid w:val="3FB03D8B"/>
    <w:rsid w:val="3FB77F5A"/>
    <w:rsid w:val="3FC32553"/>
    <w:rsid w:val="3FD53CFE"/>
    <w:rsid w:val="3FE210C1"/>
    <w:rsid w:val="3FEB1C22"/>
    <w:rsid w:val="3FEE2117"/>
    <w:rsid w:val="3FFA5C63"/>
    <w:rsid w:val="40073561"/>
    <w:rsid w:val="400A1CFC"/>
    <w:rsid w:val="401D6DEE"/>
    <w:rsid w:val="40256E6C"/>
    <w:rsid w:val="40372C35"/>
    <w:rsid w:val="403870E4"/>
    <w:rsid w:val="403D7C5C"/>
    <w:rsid w:val="40400533"/>
    <w:rsid w:val="4049754C"/>
    <w:rsid w:val="404B2521"/>
    <w:rsid w:val="40572DA6"/>
    <w:rsid w:val="405A424E"/>
    <w:rsid w:val="406A55A3"/>
    <w:rsid w:val="406D461C"/>
    <w:rsid w:val="406F7D87"/>
    <w:rsid w:val="40825FDB"/>
    <w:rsid w:val="40836EAD"/>
    <w:rsid w:val="40896211"/>
    <w:rsid w:val="40907287"/>
    <w:rsid w:val="409238F2"/>
    <w:rsid w:val="40953EC0"/>
    <w:rsid w:val="40A85158"/>
    <w:rsid w:val="40AB3054"/>
    <w:rsid w:val="40BD153A"/>
    <w:rsid w:val="40C3250A"/>
    <w:rsid w:val="40CD7BD8"/>
    <w:rsid w:val="40CE24AF"/>
    <w:rsid w:val="40D07371"/>
    <w:rsid w:val="40D72999"/>
    <w:rsid w:val="40DF3ABC"/>
    <w:rsid w:val="40E6034D"/>
    <w:rsid w:val="40E75AF0"/>
    <w:rsid w:val="40E87142"/>
    <w:rsid w:val="40F00A85"/>
    <w:rsid w:val="40F1013C"/>
    <w:rsid w:val="40F35427"/>
    <w:rsid w:val="40FE1447"/>
    <w:rsid w:val="41053DED"/>
    <w:rsid w:val="410F4D08"/>
    <w:rsid w:val="412506DF"/>
    <w:rsid w:val="413B1BAB"/>
    <w:rsid w:val="41434504"/>
    <w:rsid w:val="4149456B"/>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63744"/>
    <w:rsid w:val="41AC6BA3"/>
    <w:rsid w:val="41AD5F07"/>
    <w:rsid w:val="41B730A3"/>
    <w:rsid w:val="41B737E0"/>
    <w:rsid w:val="41B77B6D"/>
    <w:rsid w:val="41C20F3F"/>
    <w:rsid w:val="41C86290"/>
    <w:rsid w:val="41D1580B"/>
    <w:rsid w:val="41D57639"/>
    <w:rsid w:val="41DC5EDF"/>
    <w:rsid w:val="41DD05DE"/>
    <w:rsid w:val="41E4117E"/>
    <w:rsid w:val="41F04C42"/>
    <w:rsid w:val="41F07014"/>
    <w:rsid w:val="41F24303"/>
    <w:rsid w:val="41F52080"/>
    <w:rsid w:val="41F94D40"/>
    <w:rsid w:val="420850A2"/>
    <w:rsid w:val="421B1059"/>
    <w:rsid w:val="422370F9"/>
    <w:rsid w:val="42294221"/>
    <w:rsid w:val="422C32BD"/>
    <w:rsid w:val="422E207E"/>
    <w:rsid w:val="422F6870"/>
    <w:rsid w:val="423038F8"/>
    <w:rsid w:val="424255E1"/>
    <w:rsid w:val="424A277B"/>
    <w:rsid w:val="424C701C"/>
    <w:rsid w:val="42571AE1"/>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F875D5"/>
    <w:rsid w:val="430A5FFD"/>
    <w:rsid w:val="43112BE5"/>
    <w:rsid w:val="431B56C6"/>
    <w:rsid w:val="431C7B04"/>
    <w:rsid w:val="432319F2"/>
    <w:rsid w:val="432466AA"/>
    <w:rsid w:val="432E5E21"/>
    <w:rsid w:val="433C41B8"/>
    <w:rsid w:val="433D2335"/>
    <w:rsid w:val="433F57C3"/>
    <w:rsid w:val="43426A44"/>
    <w:rsid w:val="434660C5"/>
    <w:rsid w:val="43605DCC"/>
    <w:rsid w:val="43614CEE"/>
    <w:rsid w:val="43621947"/>
    <w:rsid w:val="4363090C"/>
    <w:rsid w:val="43664819"/>
    <w:rsid w:val="436A2192"/>
    <w:rsid w:val="436C40C2"/>
    <w:rsid w:val="4372336A"/>
    <w:rsid w:val="438B6310"/>
    <w:rsid w:val="439322F0"/>
    <w:rsid w:val="43964600"/>
    <w:rsid w:val="4397231A"/>
    <w:rsid w:val="439C3431"/>
    <w:rsid w:val="439D0E7C"/>
    <w:rsid w:val="43A26A83"/>
    <w:rsid w:val="43A45ECB"/>
    <w:rsid w:val="43BB0AE6"/>
    <w:rsid w:val="43C0281C"/>
    <w:rsid w:val="43D10A40"/>
    <w:rsid w:val="43D67A91"/>
    <w:rsid w:val="43E21F58"/>
    <w:rsid w:val="43E35EF0"/>
    <w:rsid w:val="43F76F69"/>
    <w:rsid w:val="43F90FED"/>
    <w:rsid w:val="43FC0DB2"/>
    <w:rsid w:val="440C5D56"/>
    <w:rsid w:val="44174583"/>
    <w:rsid w:val="441A5200"/>
    <w:rsid w:val="4425456D"/>
    <w:rsid w:val="44393BD3"/>
    <w:rsid w:val="444109FB"/>
    <w:rsid w:val="444E22EA"/>
    <w:rsid w:val="44584267"/>
    <w:rsid w:val="44666074"/>
    <w:rsid w:val="44705173"/>
    <w:rsid w:val="44740841"/>
    <w:rsid w:val="4476407C"/>
    <w:rsid w:val="447B4A66"/>
    <w:rsid w:val="447D4136"/>
    <w:rsid w:val="448B5845"/>
    <w:rsid w:val="448C73DD"/>
    <w:rsid w:val="44907237"/>
    <w:rsid w:val="449D7968"/>
    <w:rsid w:val="44B4690B"/>
    <w:rsid w:val="44B53006"/>
    <w:rsid w:val="44B67D46"/>
    <w:rsid w:val="44BA1648"/>
    <w:rsid w:val="44BB150F"/>
    <w:rsid w:val="44BE4FA9"/>
    <w:rsid w:val="44C43057"/>
    <w:rsid w:val="44C80121"/>
    <w:rsid w:val="44C87C0F"/>
    <w:rsid w:val="44DF6F1B"/>
    <w:rsid w:val="44E54BDC"/>
    <w:rsid w:val="44E92DF3"/>
    <w:rsid w:val="44F82D0E"/>
    <w:rsid w:val="450353FE"/>
    <w:rsid w:val="451C5E9C"/>
    <w:rsid w:val="452C5F0A"/>
    <w:rsid w:val="453579B0"/>
    <w:rsid w:val="45385EDA"/>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E37678"/>
    <w:rsid w:val="45E526A6"/>
    <w:rsid w:val="45E66893"/>
    <w:rsid w:val="45E826B2"/>
    <w:rsid w:val="45F4334C"/>
    <w:rsid w:val="460D3781"/>
    <w:rsid w:val="461B39D6"/>
    <w:rsid w:val="46312362"/>
    <w:rsid w:val="463714CE"/>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1643F"/>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03B16"/>
    <w:rsid w:val="47033281"/>
    <w:rsid w:val="47065799"/>
    <w:rsid w:val="47073BE8"/>
    <w:rsid w:val="470872CF"/>
    <w:rsid w:val="470D53CA"/>
    <w:rsid w:val="471563E1"/>
    <w:rsid w:val="47167C67"/>
    <w:rsid w:val="47333B1B"/>
    <w:rsid w:val="47351654"/>
    <w:rsid w:val="473D0BD8"/>
    <w:rsid w:val="47457188"/>
    <w:rsid w:val="47504011"/>
    <w:rsid w:val="475F470F"/>
    <w:rsid w:val="47644CFB"/>
    <w:rsid w:val="47666951"/>
    <w:rsid w:val="47683159"/>
    <w:rsid w:val="476A7D07"/>
    <w:rsid w:val="477E1ACC"/>
    <w:rsid w:val="479766B4"/>
    <w:rsid w:val="479A472B"/>
    <w:rsid w:val="479D7800"/>
    <w:rsid w:val="479E6293"/>
    <w:rsid w:val="47AA1593"/>
    <w:rsid w:val="47B44BED"/>
    <w:rsid w:val="47BC3466"/>
    <w:rsid w:val="47D730B6"/>
    <w:rsid w:val="47DD6A91"/>
    <w:rsid w:val="47EB0853"/>
    <w:rsid w:val="47EB5BFA"/>
    <w:rsid w:val="47FA20F9"/>
    <w:rsid w:val="47FF3A74"/>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7423E"/>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F78CA"/>
    <w:rsid w:val="4A95521B"/>
    <w:rsid w:val="4AA456B8"/>
    <w:rsid w:val="4AA75186"/>
    <w:rsid w:val="4AB113DF"/>
    <w:rsid w:val="4ABB3CDE"/>
    <w:rsid w:val="4AC4256B"/>
    <w:rsid w:val="4AC860DD"/>
    <w:rsid w:val="4AD162A8"/>
    <w:rsid w:val="4AD25C89"/>
    <w:rsid w:val="4AD768C6"/>
    <w:rsid w:val="4AE0796F"/>
    <w:rsid w:val="4AF902F5"/>
    <w:rsid w:val="4AF94D42"/>
    <w:rsid w:val="4B0107DC"/>
    <w:rsid w:val="4B205D7D"/>
    <w:rsid w:val="4B28587C"/>
    <w:rsid w:val="4B292683"/>
    <w:rsid w:val="4B294C7C"/>
    <w:rsid w:val="4B376E2E"/>
    <w:rsid w:val="4B385AE2"/>
    <w:rsid w:val="4B3D5656"/>
    <w:rsid w:val="4B3F4861"/>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D94F2A"/>
    <w:rsid w:val="4BDF4B49"/>
    <w:rsid w:val="4BE57E16"/>
    <w:rsid w:val="4BE819D0"/>
    <w:rsid w:val="4BE8649D"/>
    <w:rsid w:val="4C0236B4"/>
    <w:rsid w:val="4C0C091F"/>
    <w:rsid w:val="4C170C9D"/>
    <w:rsid w:val="4C192F75"/>
    <w:rsid w:val="4C1C0BD6"/>
    <w:rsid w:val="4C1E085C"/>
    <w:rsid w:val="4C1E7AAC"/>
    <w:rsid w:val="4C20259F"/>
    <w:rsid w:val="4C312ECF"/>
    <w:rsid w:val="4C422CA7"/>
    <w:rsid w:val="4C427C5C"/>
    <w:rsid w:val="4C5035A1"/>
    <w:rsid w:val="4C5F0B5D"/>
    <w:rsid w:val="4C606F33"/>
    <w:rsid w:val="4C6426ED"/>
    <w:rsid w:val="4C64471A"/>
    <w:rsid w:val="4C681280"/>
    <w:rsid w:val="4C6C2FE2"/>
    <w:rsid w:val="4C6D5BD4"/>
    <w:rsid w:val="4C77619E"/>
    <w:rsid w:val="4C860543"/>
    <w:rsid w:val="4C8740CC"/>
    <w:rsid w:val="4C8E48D8"/>
    <w:rsid w:val="4C9538F4"/>
    <w:rsid w:val="4C974009"/>
    <w:rsid w:val="4CA6111C"/>
    <w:rsid w:val="4CA867B8"/>
    <w:rsid w:val="4CB3742C"/>
    <w:rsid w:val="4CBA2017"/>
    <w:rsid w:val="4CC17C3E"/>
    <w:rsid w:val="4CC25B41"/>
    <w:rsid w:val="4CC42462"/>
    <w:rsid w:val="4CC42E37"/>
    <w:rsid w:val="4CC82CB8"/>
    <w:rsid w:val="4CCD5921"/>
    <w:rsid w:val="4CD550D5"/>
    <w:rsid w:val="4CDA21DD"/>
    <w:rsid w:val="4CE472E9"/>
    <w:rsid w:val="4CF04CFC"/>
    <w:rsid w:val="4CF26BC3"/>
    <w:rsid w:val="4CFB51DB"/>
    <w:rsid w:val="4CFC3F2E"/>
    <w:rsid w:val="4D0F1680"/>
    <w:rsid w:val="4D1D6CA0"/>
    <w:rsid w:val="4D2609C6"/>
    <w:rsid w:val="4D2F5C2A"/>
    <w:rsid w:val="4D33448A"/>
    <w:rsid w:val="4D3F4840"/>
    <w:rsid w:val="4D410392"/>
    <w:rsid w:val="4D422D07"/>
    <w:rsid w:val="4D427BBD"/>
    <w:rsid w:val="4D541F22"/>
    <w:rsid w:val="4D570519"/>
    <w:rsid w:val="4D5C5732"/>
    <w:rsid w:val="4D656800"/>
    <w:rsid w:val="4D705706"/>
    <w:rsid w:val="4D7220A0"/>
    <w:rsid w:val="4D76173E"/>
    <w:rsid w:val="4D8D11C1"/>
    <w:rsid w:val="4D922BF5"/>
    <w:rsid w:val="4D9B5A29"/>
    <w:rsid w:val="4DA53BC8"/>
    <w:rsid w:val="4DB41824"/>
    <w:rsid w:val="4DBD1F3A"/>
    <w:rsid w:val="4DBD526D"/>
    <w:rsid w:val="4DC31B92"/>
    <w:rsid w:val="4DD776ED"/>
    <w:rsid w:val="4DDF6E13"/>
    <w:rsid w:val="4DE60E50"/>
    <w:rsid w:val="4DEB4734"/>
    <w:rsid w:val="4DEF33CD"/>
    <w:rsid w:val="4DF20FEE"/>
    <w:rsid w:val="4DF47251"/>
    <w:rsid w:val="4E007E98"/>
    <w:rsid w:val="4E016672"/>
    <w:rsid w:val="4E066F25"/>
    <w:rsid w:val="4E0939E5"/>
    <w:rsid w:val="4E176DF3"/>
    <w:rsid w:val="4E1A2F68"/>
    <w:rsid w:val="4E1E7D0E"/>
    <w:rsid w:val="4E210A5C"/>
    <w:rsid w:val="4E2A41E4"/>
    <w:rsid w:val="4E3A2C21"/>
    <w:rsid w:val="4E412A4D"/>
    <w:rsid w:val="4E4475F5"/>
    <w:rsid w:val="4E587463"/>
    <w:rsid w:val="4E5A3449"/>
    <w:rsid w:val="4E68543B"/>
    <w:rsid w:val="4E6906EE"/>
    <w:rsid w:val="4E694E99"/>
    <w:rsid w:val="4E6D1740"/>
    <w:rsid w:val="4E7125DA"/>
    <w:rsid w:val="4E795FE9"/>
    <w:rsid w:val="4E797F06"/>
    <w:rsid w:val="4E817BF3"/>
    <w:rsid w:val="4E8D3751"/>
    <w:rsid w:val="4E904370"/>
    <w:rsid w:val="4E937763"/>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E4EC2"/>
    <w:rsid w:val="4EFF3444"/>
    <w:rsid w:val="4F037BFA"/>
    <w:rsid w:val="4F0441E5"/>
    <w:rsid w:val="4F155F27"/>
    <w:rsid w:val="4F181305"/>
    <w:rsid w:val="4F1A238F"/>
    <w:rsid w:val="4F2C365D"/>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309DB"/>
    <w:rsid w:val="50752AF6"/>
    <w:rsid w:val="50771C00"/>
    <w:rsid w:val="508A668E"/>
    <w:rsid w:val="509A3231"/>
    <w:rsid w:val="50AF1C59"/>
    <w:rsid w:val="50B139BD"/>
    <w:rsid w:val="50B92297"/>
    <w:rsid w:val="50BD1498"/>
    <w:rsid w:val="50BE1B1D"/>
    <w:rsid w:val="50C51F05"/>
    <w:rsid w:val="50C65C4E"/>
    <w:rsid w:val="50C65E30"/>
    <w:rsid w:val="50CF1380"/>
    <w:rsid w:val="50D228CF"/>
    <w:rsid w:val="50E63519"/>
    <w:rsid w:val="50ED76FB"/>
    <w:rsid w:val="50F568D9"/>
    <w:rsid w:val="50FD2A03"/>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61603"/>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60D3F"/>
    <w:rsid w:val="51F96848"/>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CA3D8F"/>
    <w:rsid w:val="52CD21D8"/>
    <w:rsid w:val="52CF0A4A"/>
    <w:rsid w:val="52DC66BA"/>
    <w:rsid w:val="52DC7C0E"/>
    <w:rsid w:val="52DD5B35"/>
    <w:rsid w:val="52DF42EC"/>
    <w:rsid w:val="52E427EA"/>
    <w:rsid w:val="52EB52A5"/>
    <w:rsid w:val="52EF0051"/>
    <w:rsid w:val="52FC1C88"/>
    <w:rsid w:val="53024474"/>
    <w:rsid w:val="53047263"/>
    <w:rsid w:val="53084462"/>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66542B"/>
    <w:rsid w:val="536D41AE"/>
    <w:rsid w:val="536F7573"/>
    <w:rsid w:val="53763151"/>
    <w:rsid w:val="53794E20"/>
    <w:rsid w:val="537A78AC"/>
    <w:rsid w:val="537D3C2F"/>
    <w:rsid w:val="5391597D"/>
    <w:rsid w:val="53943B08"/>
    <w:rsid w:val="53947DE7"/>
    <w:rsid w:val="539650C0"/>
    <w:rsid w:val="53967964"/>
    <w:rsid w:val="53A106E5"/>
    <w:rsid w:val="53A27D95"/>
    <w:rsid w:val="53A911A1"/>
    <w:rsid w:val="53DB35A3"/>
    <w:rsid w:val="53DC2808"/>
    <w:rsid w:val="53DF54A9"/>
    <w:rsid w:val="53E07B00"/>
    <w:rsid w:val="53E27BE1"/>
    <w:rsid w:val="53F90D34"/>
    <w:rsid w:val="53FA6BAC"/>
    <w:rsid w:val="54002BFD"/>
    <w:rsid w:val="541942B6"/>
    <w:rsid w:val="541B6ED4"/>
    <w:rsid w:val="54272DD2"/>
    <w:rsid w:val="542A3FEF"/>
    <w:rsid w:val="542A5504"/>
    <w:rsid w:val="542F7A60"/>
    <w:rsid w:val="54346136"/>
    <w:rsid w:val="5452765B"/>
    <w:rsid w:val="54550067"/>
    <w:rsid w:val="54580F5A"/>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95643"/>
    <w:rsid w:val="550E6C32"/>
    <w:rsid w:val="551C2E9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54921"/>
    <w:rsid w:val="5609174E"/>
    <w:rsid w:val="56124785"/>
    <w:rsid w:val="56214A7B"/>
    <w:rsid w:val="562E1F90"/>
    <w:rsid w:val="56373380"/>
    <w:rsid w:val="563B616D"/>
    <w:rsid w:val="56436207"/>
    <w:rsid w:val="56492561"/>
    <w:rsid w:val="565B61BB"/>
    <w:rsid w:val="566510CB"/>
    <w:rsid w:val="567215D4"/>
    <w:rsid w:val="567A6CC0"/>
    <w:rsid w:val="567E4F7B"/>
    <w:rsid w:val="568D0940"/>
    <w:rsid w:val="56902B88"/>
    <w:rsid w:val="56927DA4"/>
    <w:rsid w:val="56A032E3"/>
    <w:rsid w:val="56A04928"/>
    <w:rsid w:val="56A10807"/>
    <w:rsid w:val="56A418DC"/>
    <w:rsid w:val="56A50EBB"/>
    <w:rsid w:val="56A83AE3"/>
    <w:rsid w:val="56AB6535"/>
    <w:rsid w:val="56AD339E"/>
    <w:rsid w:val="56B0619F"/>
    <w:rsid w:val="56B16CBD"/>
    <w:rsid w:val="56B75314"/>
    <w:rsid w:val="56B96F66"/>
    <w:rsid w:val="56BE75C0"/>
    <w:rsid w:val="56C12AE4"/>
    <w:rsid w:val="56C71CAD"/>
    <w:rsid w:val="56CE5F20"/>
    <w:rsid w:val="56DA3EBA"/>
    <w:rsid w:val="56DE40C5"/>
    <w:rsid w:val="56E33383"/>
    <w:rsid w:val="56E3751D"/>
    <w:rsid w:val="56E81DBE"/>
    <w:rsid w:val="56ED5E03"/>
    <w:rsid w:val="56F843F4"/>
    <w:rsid w:val="56FB0134"/>
    <w:rsid w:val="57012351"/>
    <w:rsid w:val="57095761"/>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93498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F01737"/>
    <w:rsid w:val="57F73696"/>
    <w:rsid w:val="58005923"/>
    <w:rsid w:val="5803475B"/>
    <w:rsid w:val="580A6FBE"/>
    <w:rsid w:val="580F5BC1"/>
    <w:rsid w:val="5822786C"/>
    <w:rsid w:val="58243371"/>
    <w:rsid w:val="58293CFC"/>
    <w:rsid w:val="58302962"/>
    <w:rsid w:val="5835010B"/>
    <w:rsid w:val="5846366F"/>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267EF0"/>
    <w:rsid w:val="59376E4C"/>
    <w:rsid w:val="59421F7E"/>
    <w:rsid w:val="59424509"/>
    <w:rsid w:val="594935F2"/>
    <w:rsid w:val="594C2750"/>
    <w:rsid w:val="595C0946"/>
    <w:rsid w:val="59604A5E"/>
    <w:rsid w:val="59642A7A"/>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1B2C"/>
    <w:rsid w:val="5A2A6592"/>
    <w:rsid w:val="5A2D0557"/>
    <w:rsid w:val="5A340B09"/>
    <w:rsid w:val="5A3F3527"/>
    <w:rsid w:val="5A440B9D"/>
    <w:rsid w:val="5A5128C3"/>
    <w:rsid w:val="5A525A46"/>
    <w:rsid w:val="5A575C31"/>
    <w:rsid w:val="5A5C7772"/>
    <w:rsid w:val="5A6336A1"/>
    <w:rsid w:val="5A64733B"/>
    <w:rsid w:val="5A6B7C88"/>
    <w:rsid w:val="5A6E44C5"/>
    <w:rsid w:val="5A73612A"/>
    <w:rsid w:val="5A8F76C1"/>
    <w:rsid w:val="5A9A0A66"/>
    <w:rsid w:val="5AA541CF"/>
    <w:rsid w:val="5AAF48E4"/>
    <w:rsid w:val="5AB96041"/>
    <w:rsid w:val="5ABC4831"/>
    <w:rsid w:val="5ABC6BFA"/>
    <w:rsid w:val="5AC366EB"/>
    <w:rsid w:val="5AC43AE0"/>
    <w:rsid w:val="5AD054B7"/>
    <w:rsid w:val="5AD149C0"/>
    <w:rsid w:val="5AD510F0"/>
    <w:rsid w:val="5ADE59C5"/>
    <w:rsid w:val="5AF82FCA"/>
    <w:rsid w:val="5AF8657A"/>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896F76"/>
    <w:rsid w:val="5B8F287C"/>
    <w:rsid w:val="5B975E5B"/>
    <w:rsid w:val="5B9C0984"/>
    <w:rsid w:val="5B9D4973"/>
    <w:rsid w:val="5BA65080"/>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23483"/>
    <w:rsid w:val="5C5348B4"/>
    <w:rsid w:val="5C5E033F"/>
    <w:rsid w:val="5C6875EE"/>
    <w:rsid w:val="5C6F12DC"/>
    <w:rsid w:val="5C7A2919"/>
    <w:rsid w:val="5C890156"/>
    <w:rsid w:val="5CBF4297"/>
    <w:rsid w:val="5CC43404"/>
    <w:rsid w:val="5CC93DAE"/>
    <w:rsid w:val="5CD31EE3"/>
    <w:rsid w:val="5CE1654F"/>
    <w:rsid w:val="5CE47CF9"/>
    <w:rsid w:val="5CF70E19"/>
    <w:rsid w:val="5D00730C"/>
    <w:rsid w:val="5D072BC8"/>
    <w:rsid w:val="5D076525"/>
    <w:rsid w:val="5D0A3A75"/>
    <w:rsid w:val="5D19384D"/>
    <w:rsid w:val="5D22473A"/>
    <w:rsid w:val="5D2B5629"/>
    <w:rsid w:val="5D315CEB"/>
    <w:rsid w:val="5D3926A3"/>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66D11"/>
    <w:rsid w:val="5DD70750"/>
    <w:rsid w:val="5DE44DF4"/>
    <w:rsid w:val="5E00720B"/>
    <w:rsid w:val="5E012896"/>
    <w:rsid w:val="5E0825B2"/>
    <w:rsid w:val="5E0A6049"/>
    <w:rsid w:val="5E156B70"/>
    <w:rsid w:val="5E1574AD"/>
    <w:rsid w:val="5E21165A"/>
    <w:rsid w:val="5E226508"/>
    <w:rsid w:val="5E344390"/>
    <w:rsid w:val="5E352EB6"/>
    <w:rsid w:val="5E400BF0"/>
    <w:rsid w:val="5E4250B0"/>
    <w:rsid w:val="5E4A3E88"/>
    <w:rsid w:val="5E4E539E"/>
    <w:rsid w:val="5E565028"/>
    <w:rsid w:val="5E5F0687"/>
    <w:rsid w:val="5E680BE8"/>
    <w:rsid w:val="5E6B7FF0"/>
    <w:rsid w:val="5E783202"/>
    <w:rsid w:val="5E7842EE"/>
    <w:rsid w:val="5E803D55"/>
    <w:rsid w:val="5E854DAE"/>
    <w:rsid w:val="5EA648E2"/>
    <w:rsid w:val="5EB52E6F"/>
    <w:rsid w:val="5EC94A60"/>
    <w:rsid w:val="5ED95EEE"/>
    <w:rsid w:val="5EDE3633"/>
    <w:rsid w:val="5EE55DDE"/>
    <w:rsid w:val="5EF04AC4"/>
    <w:rsid w:val="5EF47473"/>
    <w:rsid w:val="5EF96C80"/>
    <w:rsid w:val="5EFE064F"/>
    <w:rsid w:val="5F061DE5"/>
    <w:rsid w:val="5F09081F"/>
    <w:rsid w:val="5F1111AD"/>
    <w:rsid w:val="5F121A0D"/>
    <w:rsid w:val="5F1B27DE"/>
    <w:rsid w:val="5F2C64A1"/>
    <w:rsid w:val="5F31507D"/>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74769"/>
    <w:rsid w:val="607079E9"/>
    <w:rsid w:val="60734371"/>
    <w:rsid w:val="607F681A"/>
    <w:rsid w:val="60830460"/>
    <w:rsid w:val="6085543E"/>
    <w:rsid w:val="608B5C80"/>
    <w:rsid w:val="60907882"/>
    <w:rsid w:val="609258F0"/>
    <w:rsid w:val="6093287A"/>
    <w:rsid w:val="609517E9"/>
    <w:rsid w:val="609A2B73"/>
    <w:rsid w:val="609F1E8C"/>
    <w:rsid w:val="60B77B1A"/>
    <w:rsid w:val="60BA0952"/>
    <w:rsid w:val="60C02A5F"/>
    <w:rsid w:val="60C5483E"/>
    <w:rsid w:val="60C566E2"/>
    <w:rsid w:val="60C867C5"/>
    <w:rsid w:val="60D3354A"/>
    <w:rsid w:val="60D67E78"/>
    <w:rsid w:val="60DB0800"/>
    <w:rsid w:val="60DE0DB6"/>
    <w:rsid w:val="60E5427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D21120"/>
    <w:rsid w:val="61E728F9"/>
    <w:rsid w:val="61F3667F"/>
    <w:rsid w:val="61F43F82"/>
    <w:rsid w:val="61FB110C"/>
    <w:rsid w:val="620B2B74"/>
    <w:rsid w:val="6210415F"/>
    <w:rsid w:val="62185165"/>
    <w:rsid w:val="621D66D4"/>
    <w:rsid w:val="622E2CF4"/>
    <w:rsid w:val="622F5ABF"/>
    <w:rsid w:val="623D0C68"/>
    <w:rsid w:val="62460FCD"/>
    <w:rsid w:val="62480FF0"/>
    <w:rsid w:val="624B14C1"/>
    <w:rsid w:val="624F0394"/>
    <w:rsid w:val="625A29D8"/>
    <w:rsid w:val="625B2CDA"/>
    <w:rsid w:val="625B47C2"/>
    <w:rsid w:val="62630C6B"/>
    <w:rsid w:val="627301E8"/>
    <w:rsid w:val="628E7C9B"/>
    <w:rsid w:val="6295194F"/>
    <w:rsid w:val="6299295E"/>
    <w:rsid w:val="629A07BC"/>
    <w:rsid w:val="62A33CA7"/>
    <w:rsid w:val="62B94634"/>
    <w:rsid w:val="62BA3B2B"/>
    <w:rsid w:val="62C170F8"/>
    <w:rsid w:val="62C37511"/>
    <w:rsid w:val="62D11C3F"/>
    <w:rsid w:val="62E157FC"/>
    <w:rsid w:val="62E81148"/>
    <w:rsid w:val="62F76986"/>
    <w:rsid w:val="62FA3D7F"/>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821D61"/>
    <w:rsid w:val="63827E36"/>
    <w:rsid w:val="63842477"/>
    <w:rsid w:val="638823F9"/>
    <w:rsid w:val="638B04D2"/>
    <w:rsid w:val="63A85CD1"/>
    <w:rsid w:val="63AB2A39"/>
    <w:rsid w:val="63B02C42"/>
    <w:rsid w:val="63B17518"/>
    <w:rsid w:val="63C51AD9"/>
    <w:rsid w:val="63C54411"/>
    <w:rsid w:val="63C733FE"/>
    <w:rsid w:val="63CD27C8"/>
    <w:rsid w:val="63CF2629"/>
    <w:rsid w:val="63D40E51"/>
    <w:rsid w:val="63D85FCA"/>
    <w:rsid w:val="63E263F4"/>
    <w:rsid w:val="63E418C9"/>
    <w:rsid w:val="63F81AB3"/>
    <w:rsid w:val="63FD7654"/>
    <w:rsid w:val="640C2BB6"/>
    <w:rsid w:val="6411454E"/>
    <w:rsid w:val="64225DD5"/>
    <w:rsid w:val="643F3FFC"/>
    <w:rsid w:val="644A69BC"/>
    <w:rsid w:val="645B5DC0"/>
    <w:rsid w:val="645E5B71"/>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60DF6"/>
    <w:rsid w:val="64CF05E4"/>
    <w:rsid w:val="64D93F02"/>
    <w:rsid w:val="64E5543E"/>
    <w:rsid w:val="64E76F6D"/>
    <w:rsid w:val="64EA4517"/>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027C2"/>
    <w:rsid w:val="6631571B"/>
    <w:rsid w:val="663D054E"/>
    <w:rsid w:val="66460692"/>
    <w:rsid w:val="6658158E"/>
    <w:rsid w:val="66631FDD"/>
    <w:rsid w:val="66727620"/>
    <w:rsid w:val="667930F9"/>
    <w:rsid w:val="6679372B"/>
    <w:rsid w:val="667B3C56"/>
    <w:rsid w:val="66953491"/>
    <w:rsid w:val="66980BF6"/>
    <w:rsid w:val="66A139AB"/>
    <w:rsid w:val="66A56CDB"/>
    <w:rsid w:val="66B81454"/>
    <w:rsid w:val="66BE1292"/>
    <w:rsid w:val="66BF76F1"/>
    <w:rsid w:val="66D553C4"/>
    <w:rsid w:val="66D61A8D"/>
    <w:rsid w:val="66DA3497"/>
    <w:rsid w:val="66DC5BF8"/>
    <w:rsid w:val="66E173F9"/>
    <w:rsid w:val="66E3226C"/>
    <w:rsid w:val="66E611A7"/>
    <w:rsid w:val="66EC5E36"/>
    <w:rsid w:val="66F76034"/>
    <w:rsid w:val="67066C06"/>
    <w:rsid w:val="670E7B80"/>
    <w:rsid w:val="6713591F"/>
    <w:rsid w:val="67181932"/>
    <w:rsid w:val="6726232E"/>
    <w:rsid w:val="672A4901"/>
    <w:rsid w:val="67331724"/>
    <w:rsid w:val="67346319"/>
    <w:rsid w:val="67441B08"/>
    <w:rsid w:val="674E2802"/>
    <w:rsid w:val="67513E69"/>
    <w:rsid w:val="67577531"/>
    <w:rsid w:val="675A17FE"/>
    <w:rsid w:val="6768655A"/>
    <w:rsid w:val="676E1585"/>
    <w:rsid w:val="67775952"/>
    <w:rsid w:val="677E2FA1"/>
    <w:rsid w:val="67836FB1"/>
    <w:rsid w:val="678A12A7"/>
    <w:rsid w:val="678A44B2"/>
    <w:rsid w:val="678C1D52"/>
    <w:rsid w:val="678D19D7"/>
    <w:rsid w:val="67973403"/>
    <w:rsid w:val="67A67078"/>
    <w:rsid w:val="67AC341B"/>
    <w:rsid w:val="67AF1128"/>
    <w:rsid w:val="67B42C3D"/>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11326A"/>
    <w:rsid w:val="69183F42"/>
    <w:rsid w:val="691A0EAA"/>
    <w:rsid w:val="691B307E"/>
    <w:rsid w:val="692B3BF3"/>
    <w:rsid w:val="69301A1D"/>
    <w:rsid w:val="6934218F"/>
    <w:rsid w:val="693C5AA5"/>
    <w:rsid w:val="693D00F1"/>
    <w:rsid w:val="693E13B7"/>
    <w:rsid w:val="69421566"/>
    <w:rsid w:val="694A6D5C"/>
    <w:rsid w:val="6951205B"/>
    <w:rsid w:val="6953741D"/>
    <w:rsid w:val="69552B47"/>
    <w:rsid w:val="6956014F"/>
    <w:rsid w:val="696F3842"/>
    <w:rsid w:val="69731101"/>
    <w:rsid w:val="6974083C"/>
    <w:rsid w:val="697D087B"/>
    <w:rsid w:val="69807B1E"/>
    <w:rsid w:val="69872301"/>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54FA3"/>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C52EB"/>
    <w:rsid w:val="6BF229CE"/>
    <w:rsid w:val="6BF25C39"/>
    <w:rsid w:val="6C06150E"/>
    <w:rsid w:val="6C155F31"/>
    <w:rsid w:val="6C206E21"/>
    <w:rsid w:val="6C263A06"/>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D23D1"/>
    <w:rsid w:val="6D033EFD"/>
    <w:rsid w:val="6D0A7734"/>
    <w:rsid w:val="6D0B0E35"/>
    <w:rsid w:val="6D0D6D19"/>
    <w:rsid w:val="6D2353C8"/>
    <w:rsid w:val="6D274676"/>
    <w:rsid w:val="6D2F4B50"/>
    <w:rsid w:val="6D385ED1"/>
    <w:rsid w:val="6D3967DF"/>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DC652A"/>
    <w:rsid w:val="6DDF0294"/>
    <w:rsid w:val="6DE9618F"/>
    <w:rsid w:val="6DED02C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7106EF"/>
    <w:rsid w:val="6E72570E"/>
    <w:rsid w:val="6E785A45"/>
    <w:rsid w:val="6E796FC0"/>
    <w:rsid w:val="6EAB29FB"/>
    <w:rsid w:val="6EB32B7F"/>
    <w:rsid w:val="6EB46F18"/>
    <w:rsid w:val="6EB63507"/>
    <w:rsid w:val="6EBD4DFF"/>
    <w:rsid w:val="6EC23093"/>
    <w:rsid w:val="6EC23231"/>
    <w:rsid w:val="6EC310A5"/>
    <w:rsid w:val="6EC43237"/>
    <w:rsid w:val="6EC73357"/>
    <w:rsid w:val="6ED163C0"/>
    <w:rsid w:val="6ED266F7"/>
    <w:rsid w:val="6EE939F2"/>
    <w:rsid w:val="6F021829"/>
    <w:rsid w:val="6F08724A"/>
    <w:rsid w:val="6F14289F"/>
    <w:rsid w:val="6F162C84"/>
    <w:rsid w:val="6F28474F"/>
    <w:rsid w:val="6F350882"/>
    <w:rsid w:val="6F3713E9"/>
    <w:rsid w:val="6F384951"/>
    <w:rsid w:val="6F4876AF"/>
    <w:rsid w:val="6F537FC0"/>
    <w:rsid w:val="6F607895"/>
    <w:rsid w:val="6F61040C"/>
    <w:rsid w:val="6F6776E1"/>
    <w:rsid w:val="6F6D6C06"/>
    <w:rsid w:val="6F702CF5"/>
    <w:rsid w:val="6F7A0C79"/>
    <w:rsid w:val="6F7E1B78"/>
    <w:rsid w:val="6F894E57"/>
    <w:rsid w:val="6F9C5D71"/>
    <w:rsid w:val="6FA3781E"/>
    <w:rsid w:val="6FAC61CF"/>
    <w:rsid w:val="6FAD017B"/>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F3906"/>
    <w:rsid w:val="70D91094"/>
    <w:rsid w:val="70DB76EF"/>
    <w:rsid w:val="70E47264"/>
    <w:rsid w:val="70F00944"/>
    <w:rsid w:val="70F04773"/>
    <w:rsid w:val="710524E2"/>
    <w:rsid w:val="710A1B87"/>
    <w:rsid w:val="710B03C6"/>
    <w:rsid w:val="711604AB"/>
    <w:rsid w:val="712D2ADB"/>
    <w:rsid w:val="712D4159"/>
    <w:rsid w:val="712E5396"/>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93FD3"/>
    <w:rsid w:val="721C688B"/>
    <w:rsid w:val="722F77BC"/>
    <w:rsid w:val="723749D7"/>
    <w:rsid w:val="724E54F1"/>
    <w:rsid w:val="7254202A"/>
    <w:rsid w:val="72575910"/>
    <w:rsid w:val="727334E4"/>
    <w:rsid w:val="72756082"/>
    <w:rsid w:val="72772DDB"/>
    <w:rsid w:val="727B2E39"/>
    <w:rsid w:val="72827328"/>
    <w:rsid w:val="728B2CA4"/>
    <w:rsid w:val="728B509F"/>
    <w:rsid w:val="728F0A31"/>
    <w:rsid w:val="72950F4E"/>
    <w:rsid w:val="729A297B"/>
    <w:rsid w:val="72A310CE"/>
    <w:rsid w:val="72B23B41"/>
    <w:rsid w:val="72B751B8"/>
    <w:rsid w:val="72CE3184"/>
    <w:rsid w:val="72CE7D06"/>
    <w:rsid w:val="72D456A5"/>
    <w:rsid w:val="72E70D52"/>
    <w:rsid w:val="72EA6B66"/>
    <w:rsid w:val="72F02AF2"/>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82150"/>
    <w:rsid w:val="735C705A"/>
    <w:rsid w:val="736411CC"/>
    <w:rsid w:val="73690216"/>
    <w:rsid w:val="736A02D8"/>
    <w:rsid w:val="73724F6D"/>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22AFE"/>
    <w:rsid w:val="74C46840"/>
    <w:rsid w:val="74D575AA"/>
    <w:rsid w:val="74D71DDE"/>
    <w:rsid w:val="74DA7956"/>
    <w:rsid w:val="74E11F86"/>
    <w:rsid w:val="74FB509B"/>
    <w:rsid w:val="74FB6035"/>
    <w:rsid w:val="750934A8"/>
    <w:rsid w:val="750A15E4"/>
    <w:rsid w:val="750C76FA"/>
    <w:rsid w:val="752B3381"/>
    <w:rsid w:val="75325694"/>
    <w:rsid w:val="75376E15"/>
    <w:rsid w:val="75457EFF"/>
    <w:rsid w:val="754D7D87"/>
    <w:rsid w:val="7554481F"/>
    <w:rsid w:val="75594581"/>
    <w:rsid w:val="755A5494"/>
    <w:rsid w:val="75625A16"/>
    <w:rsid w:val="7564200E"/>
    <w:rsid w:val="75663FD1"/>
    <w:rsid w:val="757540E3"/>
    <w:rsid w:val="758E5E9D"/>
    <w:rsid w:val="75912385"/>
    <w:rsid w:val="759739B3"/>
    <w:rsid w:val="759B02AD"/>
    <w:rsid w:val="759B0C43"/>
    <w:rsid w:val="759B5CAF"/>
    <w:rsid w:val="759D4D4C"/>
    <w:rsid w:val="75A53BC6"/>
    <w:rsid w:val="75BB5F12"/>
    <w:rsid w:val="75C123A7"/>
    <w:rsid w:val="75CC74C8"/>
    <w:rsid w:val="75CD2584"/>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468E9"/>
    <w:rsid w:val="76587361"/>
    <w:rsid w:val="765F0FBA"/>
    <w:rsid w:val="766314AA"/>
    <w:rsid w:val="76690632"/>
    <w:rsid w:val="767469E2"/>
    <w:rsid w:val="76775F0B"/>
    <w:rsid w:val="767E2DAC"/>
    <w:rsid w:val="76894819"/>
    <w:rsid w:val="76894B0E"/>
    <w:rsid w:val="768D57E3"/>
    <w:rsid w:val="76932317"/>
    <w:rsid w:val="76A53B61"/>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90C6C"/>
    <w:rsid w:val="774B3934"/>
    <w:rsid w:val="774D47BD"/>
    <w:rsid w:val="77551F00"/>
    <w:rsid w:val="77650E66"/>
    <w:rsid w:val="776A53C0"/>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7659AD"/>
    <w:rsid w:val="7888219B"/>
    <w:rsid w:val="78887070"/>
    <w:rsid w:val="788908C8"/>
    <w:rsid w:val="78993306"/>
    <w:rsid w:val="78A561F3"/>
    <w:rsid w:val="78B0117B"/>
    <w:rsid w:val="78B91C9F"/>
    <w:rsid w:val="78BB7098"/>
    <w:rsid w:val="78BC539D"/>
    <w:rsid w:val="78BE197B"/>
    <w:rsid w:val="78C134B0"/>
    <w:rsid w:val="78C64CC0"/>
    <w:rsid w:val="78CD3535"/>
    <w:rsid w:val="78D97F0E"/>
    <w:rsid w:val="78DA009A"/>
    <w:rsid w:val="78DC2FA9"/>
    <w:rsid w:val="78DD4939"/>
    <w:rsid w:val="78E062D1"/>
    <w:rsid w:val="78F40C87"/>
    <w:rsid w:val="78F66B5A"/>
    <w:rsid w:val="78FC7FC2"/>
    <w:rsid w:val="79042DE3"/>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A15149"/>
    <w:rsid w:val="79A37CCA"/>
    <w:rsid w:val="79A71C2E"/>
    <w:rsid w:val="79A74BCA"/>
    <w:rsid w:val="79AE39E9"/>
    <w:rsid w:val="79BD3E41"/>
    <w:rsid w:val="79BF2784"/>
    <w:rsid w:val="79C0597A"/>
    <w:rsid w:val="79C24EDF"/>
    <w:rsid w:val="79C95AED"/>
    <w:rsid w:val="79DF1EBA"/>
    <w:rsid w:val="79DF3F74"/>
    <w:rsid w:val="79E12ED9"/>
    <w:rsid w:val="79E352FF"/>
    <w:rsid w:val="79E9023D"/>
    <w:rsid w:val="79ED6701"/>
    <w:rsid w:val="79EE7E8E"/>
    <w:rsid w:val="79EF0C9D"/>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A1B33"/>
    <w:rsid w:val="7A9C3E5C"/>
    <w:rsid w:val="7A9D1CEF"/>
    <w:rsid w:val="7A9F5215"/>
    <w:rsid w:val="7AA16CBD"/>
    <w:rsid w:val="7AA5277A"/>
    <w:rsid w:val="7AA952CF"/>
    <w:rsid w:val="7AAE678B"/>
    <w:rsid w:val="7AB07C78"/>
    <w:rsid w:val="7AB514B2"/>
    <w:rsid w:val="7ACA29DF"/>
    <w:rsid w:val="7ACD2D7F"/>
    <w:rsid w:val="7AD27B42"/>
    <w:rsid w:val="7AD53EC1"/>
    <w:rsid w:val="7AD84E14"/>
    <w:rsid w:val="7ADB474B"/>
    <w:rsid w:val="7ADB7F1A"/>
    <w:rsid w:val="7AF9607E"/>
    <w:rsid w:val="7AFF6F46"/>
    <w:rsid w:val="7B18546A"/>
    <w:rsid w:val="7B1B467F"/>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63294"/>
    <w:rsid w:val="7BAA2B37"/>
    <w:rsid w:val="7BAB7079"/>
    <w:rsid w:val="7BB145C1"/>
    <w:rsid w:val="7BB2241E"/>
    <w:rsid w:val="7BC17EBE"/>
    <w:rsid w:val="7BC43666"/>
    <w:rsid w:val="7BC8293C"/>
    <w:rsid w:val="7BC87053"/>
    <w:rsid w:val="7BDC009C"/>
    <w:rsid w:val="7BDE0174"/>
    <w:rsid w:val="7BDF18E6"/>
    <w:rsid w:val="7BE131F6"/>
    <w:rsid w:val="7BE7473C"/>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23A4D"/>
    <w:rsid w:val="7C831756"/>
    <w:rsid w:val="7C8A5CD4"/>
    <w:rsid w:val="7C8C4CAB"/>
    <w:rsid w:val="7C982736"/>
    <w:rsid w:val="7C9E5A24"/>
    <w:rsid w:val="7CA3583F"/>
    <w:rsid w:val="7CA67728"/>
    <w:rsid w:val="7CA71B50"/>
    <w:rsid w:val="7CAE1511"/>
    <w:rsid w:val="7CB62523"/>
    <w:rsid w:val="7CCA5583"/>
    <w:rsid w:val="7CD72F9B"/>
    <w:rsid w:val="7CE146B6"/>
    <w:rsid w:val="7CE65C11"/>
    <w:rsid w:val="7CE666B7"/>
    <w:rsid w:val="7CE70935"/>
    <w:rsid w:val="7CF84A31"/>
    <w:rsid w:val="7CFC44C2"/>
    <w:rsid w:val="7D013B39"/>
    <w:rsid w:val="7D060FAD"/>
    <w:rsid w:val="7D073E45"/>
    <w:rsid w:val="7D0826CA"/>
    <w:rsid w:val="7D0D06E5"/>
    <w:rsid w:val="7D130509"/>
    <w:rsid w:val="7D1946C0"/>
    <w:rsid w:val="7D1D7FE9"/>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63BFE"/>
    <w:rsid w:val="7DCC7A63"/>
    <w:rsid w:val="7DD7657D"/>
    <w:rsid w:val="7DDA6C39"/>
    <w:rsid w:val="7DE15552"/>
    <w:rsid w:val="7DE16744"/>
    <w:rsid w:val="7DEB2C44"/>
    <w:rsid w:val="7DF464FC"/>
    <w:rsid w:val="7DFE63E1"/>
    <w:rsid w:val="7E006A11"/>
    <w:rsid w:val="7E1B1419"/>
    <w:rsid w:val="7E1C55F3"/>
    <w:rsid w:val="7E202566"/>
    <w:rsid w:val="7E222965"/>
    <w:rsid w:val="7E2E7D3F"/>
    <w:rsid w:val="7E330B2F"/>
    <w:rsid w:val="7E347694"/>
    <w:rsid w:val="7E3B5911"/>
    <w:rsid w:val="7E495416"/>
    <w:rsid w:val="7E497873"/>
    <w:rsid w:val="7E4E716D"/>
    <w:rsid w:val="7E570488"/>
    <w:rsid w:val="7E573082"/>
    <w:rsid w:val="7E595C0C"/>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57295E"/>
    <w:rsid w:val="7F6339F7"/>
    <w:rsid w:val="7F8660CD"/>
    <w:rsid w:val="7F8A2E2C"/>
    <w:rsid w:val="7FA069EC"/>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699A98"/>
  <w15:docId w15:val="{263732CA-7E9A-4BD2-BB65-D1B2CC2EA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0"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3420"/>
    <w:pPr>
      <w:widowControl w:val="0"/>
      <w:jc w:val="both"/>
    </w:pPr>
    <w:rPr>
      <w:kern w:val="2"/>
      <w:sz w:val="21"/>
      <w:szCs w:val="22"/>
    </w:rPr>
  </w:style>
  <w:style w:type="paragraph" w:styleId="1">
    <w:name w:val="heading 1"/>
    <w:basedOn w:val="a"/>
    <w:next w:val="a"/>
    <w:link w:val="1Char"/>
    <w:uiPriority w:val="9"/>
    <w:qFormat/>
    <w:pPr>
      <w:keepNext/>
      <w:spacing w:before="240" w:after="60"/>
      <w:outlineLvl w:val="0"/>
    </w:pPr>
    <w:rPr>
      <w:rFonts w:ascii="Cambria" w:hAnsi="Cambria"/>
      <w:b/>
      <w:bCs/>
      <w:kern w:val="32"/>
      <w:sz w:val="32"/>
      <w:szCs w:val="32"/>
    </w:rPr>
  </w:style>
  <w:style w:type="paragraph" w:styleId="2">
    <w:name w:val="heading 2"/>
    <w:basedOn w:val="1"/>
    <w:next w:val="a"/>
    <w:link w:val="2Char"/>
    <w:qFormat/>
    <w:pPr>
      <w:keepLines/>
      <w:widowControl/>
      <w:spacing w:before="180" w:after="180"/>
      <w:ind w:left="1134" w:hanging="1134"/>
      <w:jc w:val="left"/>
      <w:outlineLvl w:val="1"/>
    </w:pPr>
    <w:rPr>
      <w:rFonts w:ascii="Arial" w:hAnsi="Arial"/>
      <w:b w:val="0"/>
      <w:bCs w:val="0"/>
      <w:kern w:val="0"/>
      <w:szCs w:val="20"/>
      <w:lang w:eastAsia="en-US"/>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tabs>
        <w:tab w:val="left" w:pos="2000"/>
      </w:tabs>
      <w:overflowPunct w:val="0"/>
      <w:autoSpaceDE w:val="0"/>
      <w:autoSpaceDN w:val="0"/>
      <w:adjustRightInd w:val="0"/>
      <w:ind w:left="2000" w:hanging="864"/>
      <w:textAlignment w:val="baseline"/>
      <w:outlineLvl w:val="3"/>
    </w:pPr>
    <w:rPr>
      <w:sz w:val="24"/>
      <w:lang w:val="en-GB"/>
    </w:rPr>
  </w:style>
  <w:style w:type="paragraph" w:styleId="5">
    <w:name w:val="heading 5"/>
    <w:basedOn w:val="4"/>
    <w:next w:val="a"/>
    <w:link w:val="5Char"/>
    <w:qFormat/>
    <w:pPr>
      <w:tabs>
        <w:tab w:val="clear" w:pos="2000"/>
        <w:tab w:val="left" w:pos="2144"/>
      </w:tabs>
      <w:ind w:left="2144" w:hanging="1008"/>
      <w:outlineLvl w:val="4"/>
    </w:pPr>
    <w:rPr>
      <w:sz w:val="22"/>
    </w:rPr>
  </w:style>
  <w:style w:type="paragraph" w:styleId="6">
    <w:name w:val="heading 6"/>
    <w:basedOn w:val="a"/>
    <w:next w:val="a"/>
    <w:link w:val="6Char"/>
    <w:qFormat/>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7">
    <w:name w:val="heading 7"/>
    <w:basedOn w:val="a"/>
    <w:next w:val="a"/>
    <w:link w:val="7Char"/>
    <w:qFormat/>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8">
    <w:name w:val="heading 8"/>
    <w:basedOn w:val="1"/>
    <w:next w:val="a"/>
    <w:link w:val="8Char"/>
    <w:qFormat/>
    <w:pPr>
      <w:keepLines/>
      <w:widowControl/>
      <w:pBdr>
        <w:top w:val="single" w:sz="12" w:space="3" w:color="auto"/>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9">
    <w:name w:val="heading 9"/>
    <w:basedOn w:val="8"/>
    <w:next w:val="a"/>
    <w:link w:val="9Char"/>
    <w:qFormat/>
    <w:pPr>
      <w:tabs>
        <w:tab w:val="clear" w:pos="2576"/>
        <w:tab w:val="left" w:pos="2720"/>
      </w:tabs>
      <w:ind w:left="2720"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Caption Char1 Char,cap Char Char1,Caption Char Char1 Char,cap Char2 Char,Ca"/>
    <w:basedOn w:val="a"/>
    <w:next w:val="a"/>
    <w:link w:val="Char0"/>
    <w:qFormat/>
    <w:pPr>
      <w:widowControl/>
      <w:spacing w:before="152"/>
    </w:pPr>
    <w:rPr>
      <w:rFonts w:ascii="Arial" w:eastAsia="黑体" w:hAnsi="Arial"/>
      <w:kern w:val="0"/>
      <w:sz w:val="20"/>
      <w:szCs w:val="20"/>
    </w:rPr>
  </w:style>
  <w:style w:type="paragraph" w:styleId="a4">
    <w:name w:val="Document Map"/>
    <w:basedOn w:val="a"/>
    <w:link w:val="Char1"/>
    <w:uiPriority w:val="99"/>
    <w:unhideWhenUsed/>
    <w:qFormat/>
    <w:rPr>
      <w:rFonts w:ascii="宋体"/>
      <w:kern w:val="0"/>
      <w:sz w:val="18"/>
      <w:szCs w:val="18"/>
    </w:rPr>
  </w:style>
  <w:style w:type="paragraph" w:styleId="a5">
    <w:name w:val="annotation text"/>
    <w:basedOn w:val="a"/>
    <w:link w:val="Char2"/>
    <w:uiPriority w:val="99"/>
    <w:unhideWhenUsed/>
    <w:qFormat/>
    <w:rPr>
      <w:sz w:val="20"/>
      <w:szCs w:val="20"/>
    </w:rPr>
  </w:style>
  <w:style w:type="paragraph" w:styleId="a6">
    <w:name w:val="Body Text"/>
    <w:basedOn w:val="a"/>
    <w:link w:val="Char3"/>
    <w:qFormat/>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a7">
    <w:name w:val="Balloon Text"/>
    <w:basedOn w:val="a"/>
    <w:link w:val="Char4"/>
    <w:uiPriority w:val="99"/>
    <w:unhideWhenUsed/>
    <w:qFormat/>
    <w:rPr>
      <w:sz w:val="18"/>
      <w:szCs w:val="18"/>
    </w:rPr>
  </w:style>
  <w:style w:type="paragraph" w:styleId="a8">
    <w:name w:val="footer"/>
    <w:basedOn w:val="a9"/>
    <w:link w:val="Char5"/>
    <w:uiPriority w:val="99"/>
    <w:unhideWhenUsed/>
    <w:qFormat/>
    <w:pPr>
      <w:jc w:val="left"/>
    </w:pPr>
  </w:style>
  <w:style w:type="paragraph" w:styleId="a9">
    <w:name w:val="header"/>
    <w:basedOn w:val="a"/>
    <w:link w:val="Char6"/>
    <w:uiPriority w:val="99"/>
    <w:unhideWhenUsed/>
    <w:qFormat/>
    <w:pPr>
      <w:pBdr>
        <w:bottom w:val="single" w:sz="6" w:space="1" w:color="auto"/>
      </w:pBdr>
      <w:tabs>
        <w:tab w:val="center" w:pos="4153"/>
        <w:tab w:val="right" w:pos="8306"/>
      </w:tabs>
      <w:snapToGrid w:val="0"/>
      <w:jc w:val="center"/>
    </w:pPr>
    <w:rPr>
      <w:kern w:val="0"/>
      <w:sz w:val="18"/>
      <w:szCs w:val="18"/>
    </w:rPr>
  </w:style>
  <w:style w:type="paragraph" w:styleId="aa">
    <w:name w:val="List"/>
    <w:basedOn w:val="a"/>
    <w:uiPriority w:val="99"/>
    <w:unhideWhenUsed/>
    <w:qFormat/>
    <w:pPr>
      <w:ind w:left="200" w:hangingChars="200" w:hanging="200"/>
      <w:contextualSpacing/>
    </w:pPr>
  </w:style>
  <w:style w:type="paragraph" w:styleId="ab">
    <w:name w:val="Normal (Web)"/>
    <w:basedOn w:val="a"/>
    <w:uiPriority w:val="99"/>
    <w:unhideWhenUsed/>
    <w:qFormat/>
    <w:pPr>
      <w:widowControl/>
      <w:spacing w:before="100" w:beforeAutospacing="1" w:after="100" w:afterAutospacing="1"/>
      <w:jc w:val="left"/>
    </w:pPr>
    <w:rPr>
      <w:rFonts w:ascii="宋体" w:hAnsi="宋体" w:cs="宋体"/>
      <w:kern w:val="0"/>
      <w:sz w:val="24"/>
      <w:szCs w:val="24"/>
    </w:rPr>
  </w:style>
  <w:style w:type="paragraph" w:styleId="ac">
    <w:name w:val="annotation subject"/>
    <w:basedOn w:val="a5"/>
    <w:next w:val="a5"/>
    <w:link w:val="Char7"/>
    <w:uiPriority w:val="99"/>
    <w:unhideWhenUsed/>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qFormat/>
    <w:rPr>
      <w:rFonts w:ascii="Calibri" w:eastAsia="宋体" w:hAnsi="Calibri" w:cs="Calibri"/>
      <w:bCs/>
      <w:sz w:val="24"/>
    </w:rPr>
  </w:style>
  <w:style w:type="character" w:styleId="af">
    <w:name w:val="Emphasis"/>
    <w:uiPriority w:val="20"/>
    <w:qFormat/>
    <w:rPr>
      <w:color w:val="CC0000"/>
    </w:rPr>
  </w:style>
  <w:style w:type="character" w:styleId="af0">
    <w:name w:val="Hyperlink"/>
    <w:qFormat/>
    <w:rPr>
      <w:color w:val="0000FF"/>
      <w:u w:val="single"/>
    </w:rPr>
  </w:style>
  <w:style w:type="character" w:styleId="af1">
    <w:name w:val="annotation reference"/>
    <w:uiPriority w:val="99"/>
    <w:unhideWhenUsed/>
    <w:qFormat/>
    <w:rPr>
      <w:sz w:val="16"/>
      <w:szCs w:val="16"/>
    </w:rPr>
  </w:style>
  <w:style w:type="character" w:styleId="HTML">
    <w:name w:val="HTML Cite"/>
    <w:uiPriority w:val="99"/>
    <w:unhideWhenUsed/>
    <w:qFormat/>
    <w:rPr>
      <w:color w:val="008000"/>
    </w:r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address">
    <w:name w:val="address"/>
    <w:uiPriority w:val="99"/>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styleId="af2">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
    <w:basedOn w:val="a"/>
    <w:link w:val="Char8"/>
    <w:uiPriority w:val="34"/>
    <w:qFormat/>
    <w:pPr>
      <w:ind w:firstLineChars="200" w:firstLine="420"/>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rPr>
      <w:rFonts w:eastAsia="Times New Roman"/>
      <w:lang w:eastAsia="ja-JP"/>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10">
    <w:name w:val="正文1"/>
    <w:basedOn w:val="a"/>
    <w:link w:val="1Char0"/>
    <w:qFormat/>
    <w:pPr>
      <w:adjustRightInd w:val="0"/>
      <w:spacing w:after="180"/>
    </w:pPr>
    <w:rPr>
      <w:kern w:val="0"/>
      <w:sz w:val="20"/>
      <w:szCs w:val="20"/>
    </w:rPr>
  </w:style>
  <w:style w:type="paragraph" w:customStyle="1" w:styleId="charcharchar">
    <w:name w:val="char char char"/>
    <w:basedOn w:val="10"/>
    <w:link w:val="charcharcharChar"/>
    <w:qFormat/>
    <w:pPr>
      <w:keepNext/>
      <w:keepLines/>
      <w:widowControl/>
      <w:spacing w:before="120"/>
      <w:ind w:firstLine="40"/>
      <w:outlineLvl w:val="2"/>
    </w:pPr>
    <w:rPr>
      <w:rFonts w:ascii="Arial" w:hAnsi="Arial"/>
      <w:sz w:val="24"/>
      <w:szCs w:val="28"/>
    </w:rPr>
  </w:style>
  <w:style w:type="paragraph" w:customStyle="1" w:styleId="Tablehead">
    <w:name w:val="Table_head"/>
    <w:basedOn w:val="a"/>
    <w:qFormat/>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NO">
    <w:name w:val="NO"/>
    <w:basedOn w:val="a"/>
    <w:link w:val="NOChar"/>
    <w:qFormat/>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sz w:val="40"/>
      <w:szCs w:val="40"/>
      <w:lang w:eastAsia="en-US"/>
    </w:rPr>
  </w:style>
  <w:style w:type="paragraph" w:customStyle="1" w:styleId="EQ">
    <w:name w:val="EQ"/>
    <w:basedOn w:val="a"/>
    <w:next w:val="a"/>
    <w:qFormat/>
    <w:pPr>
      <w:keepLines/>
      <w:tabs>
        <w:tab w:val="center" w:pos="4536"/>
        <w:tab w:val="right" w:pos="9072"/>
      </w:tabs>
    </w:pPr>
  </w:style>
  <w:style w:type="paragraph" w:customStyle="1" w:styleId="Tabletitle">
    <w:name w:val="Table_title"/>
    <w:basedOn w:val="a"/>
    <w:next w:val="Tabletext"/>
    <w:qFormat/>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TH">
    <w:name w:val="TH"/>
    <w:basedOn w:val="a"/>
    <w:link w:val="THChar"/>
    <w:qFormat/>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af3">
    <w:name w:val="No Spacing"/>
    <w:uiPriority w:val="1"/>
    <w:qFormat/>
    <w:pPr>
      <w:widowControl w:val="0"/>
      <w:jc w:val="both"/>
    </w:pPr>
    <w:rPr>
      <w:kern w:val="2"/>
      <w:sz w:val="21"/>
      <w:szCs w:val="24"/>
    </w:rPr>
  </w:style>
  <w:style w:type="paragraph" w:customStyle="1" w:styleId="maintext">
    <w:name w:val="main text"/>
    <w:basedOn w:val="a"/>
    <w:qFormat/>
    <w:pPr>
      <w:widowControl/>
      <w:spacing w:before="60" w:after="60" w:line="288" w:lineRule="auto"/>
      <w:ind w:firstLineChars="200" w:firstLine="200"/>
    </w:pPr>
    <w:rPr>
      <w:rFonts w:eastAsia="Malgun Gothic" w:cs="Batang"/>
      <w:lang w:val="en-GB"/>
    </w:rPr>
  </w:style>
  <w:style w:type="paragraph" w:customStyle="1" w:styleId="TAN">
    <w:name w:val="TAN"/>
    <w:basedOn w:val="a"/>
    <w:link w:val="TANChar"/>
    <w:qFormat/>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TF">
    <w:name w:val="TF"/>
    <w:basedOn w:val="TH"/>
    <w:qFormat/>
    <w:pPr>
      <w:keepNext w:val="0"/>
      <w:spacing w:before="0" w:after="240"/>
    </w:pPr>
  </w:style>
  <w:style w:type="paragraph" w:customStyle="1" w:styleId="B1">
    <w:name w:val="B1"/>
    <w:basedOn w:val="aa"/>
    <w:link w:val="B1Char"/>
    <w:qFormat/>
    <w:pPr>
      <w:widowControl/>
      <w:spacing w:after="180"/>
      <w:ind w:left="568" w:firstLineChars="0" w:hanging="284"/>
      <w:jc w:val="left"/>
    </w:pPr>
    <w:rPr>
      <w:rFonts w:eastAsia="MS Mincho"/>
      <w:kern w:val="0"/>
      <w:sz w:val="20"/>
      <w:szCs w:val="20"/>
      <w:lang w:val="en-GB" w:eastAsia="de-DE"/>
    </w:rPr>
  </w:style>
  <w:style w:type="paragraph" w:customStyle="1" w:styleId="TableNo">
    <w:name w:val="Table_No"/>
    <w:basedOn w:val="a"/>
    <w:next w:val="a"/>
    <w:qFormat/>
    <w:pPr>
      <w:keepNext/>
      <w:tabs>
        <w:tab w:val="left" w:pos="1134"/>
        <w:tab w:val="left" w:pos="1871"/>
        <w:tab w:val="left" w:pos="2268"/>
      </w:tabs>
      <w:spacing w:before="560" w:after="120"/>
      <w:jc w:val="center"/>
    </w:pPr>
    <w:rPr>
      <w:caps/>
      <w:sz w:val="20"/>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Style0">
    <w:name w:val="_Style 0"/>
    <w:uiPriority w:val="1"/>
    <w:qFormat/>
    <w:pPr>
      <w:widowControl w:val="0"/>
      <w:jc w:val="both"/>
    </w:pPr>
    <w:rPr>
      <w:kern w:val="2"/>
      <w:sz w:val="21"/>
      <w:szCs w:val="24"/>
    </w:rPr>
  </w:style>
  <w:style w:type="paragraph" w:customStyle="1" w:styleId="charchar">
    <w:name w:val="char char"/>
    <w:basedOn w:val="10"/>
    <w:link w:val="charcharChar0"/>
    <w:qFormat/>
    <w:pPr>
      <w:spacing w:before="180" w:after="120"/>
      <w:outlineLvl w:val="1"/>
    </w:pPr>
    <w:rPr>
      <w:rFonts w:ascii="Arial" w:hAnsi="Arial"/>
      <w:sz w:val="28"/>
      <w:szCs w:val="32"/>
    </w:rPr>
  </w:style>
  <w:style w:type="paragraph" w:customStyle="1" w:styleId="Char">
    <w:name w:val="Char"/>
    <w:basedOn w:val="af2"/>
    <w:link w:val="CharChar0"/>
    <w:qFormat/>
    <w:pPr>
      <w:keepNext/>
      <w:keepLines/>
      <w:widowControl/>
      <w:numPr>
        <w:numId w:val="1"/>
      </w:numPr>
      <w:pBdr>
        <w:top w:val="single" w:sz="12" w:space="1" w:color="auto"/>
      </w:pBdr>
      <w:tabs>
        <w:tab w:val="left" w:pos="1985"/>
      </w:tabs>
      <w:spacing w:before="240" w:after="180"/>
      <w:ind w:firstLineChars="0" w:firstLine="0"/>
      <w:outlineLvl w:val="0"/>
    </w:pPr>
    <w:rPr>
      <w:rFonts w:ascii="Arial" w:hAnsi="Arial"/>
      <w:kern w:val="0"/>
      <w:sz w:val="32"/>
      <w:szCs w:val="36"/>
    </w:rPr>
  </w:style>
  <w:style w:type="character" w:customStyle="1" w:styleId="B1Char">
    <w:name w:val="B1 Char"/>
    <w:link w:val="B1"/>
    <w:qFormat/>
    <w:rPr>
      <w:rFonts w:ascii="Times New Roman" w:eastAsia="MS Mincho" w:hAnsi="Times New Roman"/>
      <w:lang w:val="en-GB" w:eastAsia="de-DE"/>
    </w:rPr>
  </w:style>
  <w:style w:type="character" w:customStyle="1" w:styleId="TANChar">
    <w:name w:val="TAN Char"/>
    <w:link w:val="TAN"/>
    <w:qFormat/>
    <w:rPr>
      <w:rFonts w:ascii="Arial" w:eastAsia="宋体" w:hAnsi="Arial"/>
      <w:sz w:val="18"/>
      <w:szCs w:val="18"/>
      <w:lang w:val="en-GB"/>
    </w:rPr>
  </w:style>
  <w:style w:type="character" w:customStyle="1" w:styleId="11">
    <w:name w:val="默认段落字体1"/>
    <w:qFormat/>
  </w:style>
  <w:style w:type="character" w:customStyle="1" w:styleId="NOChar">
    <w:name w:val="NO Char"/>
    <w:link w:val="NO"/>
    <w:qFormat/>
    <w:rPr>
      <w:rFonts w:ascii="Times New Roman" w:eastAsia="Times New Roman" w:hAnsi="Times New Roman"/>
      <w:lang w:val="en-GB"/>
    </w:rPr>
  </w:style>
  <w:style w:type="character" w:customStyle="1" w:styleId="TAHCar">
    <w:name w:val="TAH Car"/>
    <w:link w:val="TAH"/>
    <w:uiPriority w:val="99"/>
    <w:qFormat/>
    <w:rPr>
      <w:rFonts w:ascii="Arial" w:eastAsia="Times New Roman" w:hAnsi="Arial" w:cs="Times New Roman"/>
      <w:b/>
      <w:kern w:val="0"/>
      <w:sz w:val="18"/>
      <w:szCs w:val="20"/>
      <w:lang w:val="en-GB" w:eastAsia="ja-JP"/>
    </w:rPr>
  </w:style>
  <w:style w:type="character" w:customStyle="1" w:styleId="1Char0">
    <w:name w:val="正文1 Char"/>
    <w:link w:val="10"/>
    <w:qFormat/>
    <w:rPr>
      <w:rFonts w:ascii="Times New Roman" w:eastAsia="宋体" w:hAnsi="Times New Roman" w:cs="Times New Roman"/>
      <w:kern w:val="0"/>
      <w:sz w:val="20"/>
      <w:szCs w:val="20"/>
    </w:rPr>
  </w:style>
  <w:style w:type="character" w:customStyle="1" w:styleId="keyword">
    <w:name w:val="keyword"/>
    <w:basedOn w:val="a0"/>
    <w:qFormat/>
  </w:style>
  <w:style w:type="character" w:customStyle="1" w:styleId="c-icon">
    <w:name w:val="c-icon"/>
    <w:basedOn w:val="a0"/>
    <w:qFormat/>
  </w:style>
  <w:style w:type="character" w:customStyle="1" w:styleId="TALChar">
    <w:name w:val="TAL Char"/>
    <w:link w:val="TAL"/>
    <w:qFormat/>
    <w:rPr>
      <w:rFonts w:ascii="Arial" w:hAnsi="Arial"/>
      <w:sz w:val="18"/>
      <w:lang w:val="en-GB" w:eastAsia="en-US"/>
    </w:rPr>
  </w:style>
  <w:style w:type="character" w:customStyle="1" w:styleId="6Char">
    <w:name w:val="标题 6 Char"/>
    <w:link w:val="6"/>
    <w:qFormat/>
    <w:rPr>
      <w:rFonts w:ascii="Arial" w:eastAsia="宋体" w:hAnsi="Arial"/>
      <w:lang w:val="en-GB" w:eastAsia="en-US"/>
    </w:rPr>
  </w:style>
  <w:style w:type="character" w:customStyle="1" w:styleId="c-icon14">
    <w:name w:val="c-icon14"/>
    <w:basedOn w:val="a0"/>
    <w:qFormat/>
  </w:style>
  <w:style w:type="character" w:customStyle="1" w:styleId="8Char">
    <w:name w:val="标题 8 Char"/>
    <w:link w:val="8"/>
    <w:qFormat/>
    <w:rPr>
      <w:rFonts w:ascii="Arial" w:eastAsia="宋体" w:hAnsi="Arial"/>
      <w:sz w:val="36"/>
      <w:lang w:val="en-GB" w:eastAsia="en-US"/>
    </w:rPr>
  </w:style>
  <w:style w:type="character" w:customStyle="1" w:styleId="opdicttext2">
    <w:name w:val="op_dict_text2"/>
    <w:basedOn w:val="a0"/>
    <w:qFormat/>
  </w:style>
  <w:style w:type="character" w:customStyle="1" w:styleId="9Char">
    <w:name w:val="标题 9 Char"/>
    <w:link w:val="9"/>
    <w:qFormat/>
    <w:rPr>
      <w:rFonts w:ascii="Arial" w:eastAsia="宋体" w:hAnsi="Arial"/>
      <w:sz w:val="36"/>
      <w:lang w:val="en-GB" w:eastAsia="en-US"/>
    </w:rPr>
  </w:style>
  <w:style w:type="character" w:customStyle="1" w:styleId="charcharChar0">
    <w:name w:val="char char Char"/>
    <w:link w:val="charchar"/>
    <w:qFormat/>
    <w:rPr>
      <w:rFonts w:ascii="Arial" w:eastAsia="宋体" w:hAnsi="Arial" w:cs="Times New Roman"/>
      <w:kern w:val="0"/>
      <w:sz w:val="28"/>
      <w:szCs w:val="32"/>
    </w:rPr>
  </w:style>
  <w:style w:type="character" w:customStyle="1" w:styleId="Char0">
    <w:name w:val="题注 Char"/>
    <w:aliases w:val="cap Char1,cap Char Char,Caption Char Char,Caption Char1 Char Char,cap Char Char1 Char,Caption Char Char1 Char Char,cap Char2 Char Char,Ca Char"/>
    <w:link w:val="a3"/>
    <w:qFormat/>
    <w:rPr>
      <w:rFonts w:ascii="Arial" w:eastAsia="黑体" w:hAnsi="Arial"/>
    </w:rPr>
  </w:style>
  <w:style w:type="character" w:customStyle="1" w:styleId="CharChar0">
    <w:name w:val="Char Char"/>
    <w:link w:val="Char"/>
    <w:qFormat/>
    <w:rPr>
      <w:rFonts w:ascii="Arial" w:hAnsi="Arial"/>
      <w:sz w:val="32"/>
      <w:szCs w:val="36"/>
    </w:rPr>
  </w:style>
  <w:style w:type="character" w:customStyle="1" w:styleId="THChar">
    <w:name w:val="TH Char"/>
    <w:link w:val="TH"/>
    <w:qFormat/>
    <w:rPr>
      <w:rFonts w:ascii="Arial" w:eastAsia="宋体" w:hAnsi="Arial"/>
      <w:b/>
      <w:bCs/>
      <w:lang w:val="en-GB"/>
    </w:rPr>
  </w:style>
  <w:style w:type="character" w:customStyle="1" w:styleId="Char3">
    <w:name w:val="正文文本 Char"/>
    <w:link w:val="a6"/>
    <w:qFormat/>
    <w:rPr>
      <w:rFonts w:ascii="Times New Roman" w:eastAsia="Times New Roman" w:hAnsi="Times New Roman" w:cs="Times New Roman"/>
      <w:kern w:val="0"/>
      <w:sz w:val="20"/>
      <w:szCs w:val="20"/>
      <w:lang w:val="en-GB" w:eastAsia="en-US"/>
    </w:rPr>
  </w:style>
  <w:style w:type="character" w:customStyle="1" w:styleId="TACChar">
    <w:name w:val="TAC Char"/>
    <w:basedOn w:val="a0"/>
    <w:link w:val="TAC"/>
    <w:qFormat/>
    <w:rPr>
      <w:rFonts w:ascii="Arial" w:eastAsia="Times New Roman" w:hAnsi="Arial" w:cs="Times New Roman"/>
      <w:kern w:val="0"/>
      <w:sz w:val="18"/>
      <w:szCs w:val="20"/>
      <w:lang w:val="en-GB" w:eastAsia="ja-JP"/>
    </w:rPr>
  </w:style>
  <w:style w:type="character" w:customStyle="1" w:styleId="4Char">
    <w:name w:val="标题 4 Char"/>
    <w:link w:val="4"/>
    <w:qFormat/>
    <w:rPr>
      <w:rFonts w:ascii="Arial" w:eastAsia="宋体" w:hAnsi="Arial"/>
      <w:sz w:val="24"/>
      <w:lang w:val="en-GB" w:eastAsia="en-US"/>
    </w:rPr>
  </w:style>
  <w:style w:type="character" w:customStyle="1" w:styleId="Char4">
    <w:name w:val="批注框文本 Char"/>
    <w:link w:val="a7"/>
    <w:uiPriority w:val="99"/>
    <w:semiHidden/>
    <w:qFormat/>
    <w:rPr>
      <w:kern w:val="2"/>
      <w:sz w:val="18"/>
      <w:szCs w:val="18"/>
    </w:rPr>
  </w:style>
  <w:style w:type="character" w:customStyle="1" w:styleId="charcharcharChar">
    <w:name w:val="char char char Char"/>
    <w:link w:val="charcharchar"/>
    <w:qFormat/>
    <w:rPr>
      <w:rFonts w:ascii="Arial" w:eastAsia="宋体" w:hAnsi="Arial" w:cs="Times New Roman"/>
      <w:kern w:val="0"/>
      <w:sz w:val="24"/>
      <w:szCs w:val="28"/>
    </w:rPr>
  </w:style>
  <w:style w:type="character" w:customStyle="1" w:styleId="Char6">
    <w:name w:val="页眉 Char"/>
    <w:link w:val="a9"/>
    <w:uiPriority w:val="99"/>
    <w:qFormat/>
    <w:rPr>
      <w:sz w:val="18"/>
      <w:szCs w:val="18"/>
    </w:rPr>
  </w:style>
  <w:style w:type="character" w:customStyle="1" w:styleId="Char1">
    <w:name w:val="文档结构图 Char"/>
    <w:link w:val="a4"/>
    <w:uiPriority w:val="99"/>
    <w:semiHidden/>
    <w:qFormat/>
    <w:rPr>
      <w:rFonts w:ascii="宋体" w:eastAsia="宋体"/>
      <w:sz w:val="18"/>
      <w:szCs w:val="18"/>
    </w:rPr>
  </w:style>
  <w:style w:type="character" w:customStyle="1" w:styleId="7Char">
    <w:name w:val="标题 7 Char"/>
    <w:link w:val="7"/>
    <w:qFormat/>
    <w:rPr>
      <w:rFonts w:ascii="Arial" w:eastAsia="宋体" w:hAnsi="Arial"/>
      <w:lang w:val="en-GB" w:eastAsia="en-US"/>
    </w:rPr>
  </w:style>
  <w:style w:type="character" w:customStyle="1" w:styleId="1Char">
    <w:name w:val="标题 1 Char"/>
    <w:link w:val="1"/>
    <w:uiPriority w:val="9"/>
    <w:qFormat/>
    <w:rPr>
      <w:rFonts w:ascii="Cambria" w:eastAsia="宋体" w:hAnsi="Cambria" w:cs="Times New Roman"/>
      <w:b/>
      <w:bCs/>
      <w:kern w:val="32"/>
      <w:sz w:val="32"/>
      <w:szCs w:val="32"/>
      <w:lang w:val="en-US"/>
    </w:rPr>
  </w:style>
  <w:style w:type="character" w:customStyle="1" w:styleId="Char5">
    <w:name w:val="页脚 Char"/>
    <w:link w:val="a8"/>
    <w:uiPriority w:val="99"/>
    <w:qFormat/>
    <w:rPr>
      <w:sz w:val="18"/>
      <w:szCs w:val="18"/>
    </w:rPr>
  </w:style>
  <w:style w:type="character" w:customStyle="1" w:styleId="Char7">
    <w:name w:val="批注主题 Char"/>
    <w:link w:val="ac"/>
    <w:uiPriority w:val="99"/>
    <w:semiHidden/>
    <w:qFormat/>
    <w:rPr>
      <w:b/>
      <w:bCs/>
      <w:kern w:val="2"/>
      <w:lang w:eastAsia="zh-CN"/>
    </w:rPr>
  </w:style>
  <w:style w:type="character" w:customStyle="1" w:styleId="msoins0">
    <w:name w:val="msoins"/>
    <w:basedOn w:val="a0"/>
    <w:qFormat/>
  </w:style>
  <w:style w:type="character" w:customStyle="1" w:styleId="2Char">
    <w:name w:val="标题 2 Char"/>
    <w:link w:val="2"/>
    <w:qFormat/>
    <w:rPr>
      <w:rFonts w:ascii="Arial" w:hAnsi="Arial"/>
      <w:sz w:val="32"/>
      <w:lang w:eastAsia="en-US"/>
    </w:rPr>
  </w:style>
  <w:style w:type="character" w:customStyle="1" w:styleId="5Char">
    <w:name w:val="标题 5 Char"/>
    <w:link w:val="5"/>
    <w:qFormat/>
    <w:rPr>
      <w:rFonts w:ascii="Arial" w:eastAsia="宋体" w:hAnsi="Arial"/>
      <w:sz w:val="22"/>
      <w:lang w:val="en-GB" w:eastAsia="en-US"/>
    </w:rPr>
  </w:style>
  <w:style w:type="character" w:customStyle="1" w:styleId="3Char">
    <w:name w:val="标题 3 Char"/>
    <w:link w:val="3"/>
    <w:qFormat/>
    <w:rPr>
      <w:rFonts w:ascii="Arial" w:hAnsi="Arial"/>
      <w:sz w:val="28"/>
      <w:lang w:eastAsia="en-US"/>
    </w:rPr>
  </w:style>
  <w:style w:type="character" w:customStyle="1" w:styleId="Char2">
    <w:name w:val="批注文字 Char"/>
    <w:link w:val="a5"/>
    <w:uiPriority w:val="99"/>
    <w:qFormat/>
    <w:rPr>
      <w:kern w:val="2"/>
      <w:lang w:eastAsia="zh-CN"/>
    </w:rPr>
  </w:style>
  <w:style w:type="character" w:customStyle="1" w:styleId="opdict3lineoneresulttip">
    <w:name w:val="op_dict3_lineone_result_tip"/>
    <w:qFormat/>
    <w:rPr>
      <w:color w:val="999999"/>
    </w:rPr>
  </w:style>
  <w:style w:type="character" w:styleId="af4">
    <w:name w:val="Placeholder Text"/>
    <w:basedOn w:val="a0"/>
    <w:uiPriority w:val="99"/>
    <w:semiHidden/>
    <w:qFormat/>
    <w:rPr>
      <w:color w:val="808080"/>
    </w:rPr>
  </w:style>
  <w:style w:type="paragraph" w:customStyle="1" w:styleId="3GPPNormalText">
    <w:name w:val="3GPP Normal Text"/>
    <w:basedOn w:val="a6"/>
    <w:qFormat/>
    <w:pPr>
      <w:spacing w:after="120"/>
      <w:ind w:left="1440" w:hanging="1440"/>
      <w:jc w:val="both"/>
    </w:pPr>
    <w:rPr>
      <w:rFonts w:eastAsia="MS Mincho"/>
      <w:sz w:val="22"/>
      <w:szCs w:val="24"/>
    </w:rPr>
  </w:style>
  <w:style w:type="paragraph" w:customStyle="1" w:styleId="CRCoverPage">
    <w:name w:val="CR Cover Page"/>
    <w:qFormat/>
    <w:pPr>
      <w:spacing w:after="120"/>
    </w:pPr>
    <w:rPr>
      <w:rFonts w:ascii="Arial" w:eastAsia="Times New Roman" w:hAnsi="Arial"/>
      <w:lang w:val="en-GB" w:eastAsia="en-US"/>
    </w:rPr>
  </w:style>
  <w:style w:type="paragraph" w:customStyle="1" w:styleId="af5">
    <w:name w:val="样式 页眉"/>
    <w:basedOn w:val="a9"/>
    <w:link w:val="Char9"/>
    <w:rsid w:val="009C7CEA"/>
    <w:pPr>
      <w:pBdr>
        <w:bottom w:val="none" w:sz="0" w:space="0" w:color="auto"/>
      </w:pBdr>
      <w:tabs>
        <w:tab w:val="clear" w:pos="4153"/>
        <w:tab w:val="clear" w:pos="8306"/>
      </w:tabs>
      <w:overflowPunct w:val="0"/>
      <w:autoSpaceDE w:val="0"/>
      <w:autoSpaceDN w:val="0"/>
      <w:adjustRightInd w:val="0"/>
      <w:snapToGrid/>
      <w:spacing w:after="0" w:line="240" w:lineRule="auto"/>
      <w:jc w:val="left"/>
      <w:textAlignment w:val="baseline"/>
    </w:pPr>
    <w:rPr>
      <w:rFonts w:ascii="Arial" w:eastAsia="Arial" w:hAnsi="Arial"/>
      <w:b/>
      <w:bCs/>
      <w:noProof/>
      <w:sz w:val="22"/>
      <w:szCs w:val="20"/>
      <w:lang w:val="en-GB" w:eastAsia="en-US"/>
    </w:rPr>
  </w:style>
  <w:style w:type="character" w:customStyle="1" w:styleId="Char9">
    <w:name w:val="样式 页眉 Char"/>
    <w:link w:val="af5"/>
    <w:rsid w:val="009C7CEA"/>
    <w:rPr>
      <w:rFonts w:ascii="Arial" w:eastAsia="Arial" w:hAnsi="Arial"/>
      <w:b/>
      <w:bCs/>
      <w:noProof/>
      <w:sz w:val="22"/>
      <w:lang w:val="en-GB" w:eastAsia="en-US"/>
    </w:rPr>
  </w:style>
  <w:style w:type="character" w:customStyle="1" w:styleId="Char8">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2"/>
    <w:uiPriority w:val="34"/>
    <w:qFormat/>
    <w:locked/>
    <w:rsid w:val="00027D4B"/>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272242">
      <w:bodyDiv w:val="1"/>
      <w:marLeft w:val="0"/>
      <w:marRight w:val="0"/>
      <w:marTop w:val="0"/>
      <w:marBottom w:val="0"/>
      <w:divBdr>
        <w:top w:val="none" w:sz="0" w:space="0" w:color="auto"/>
        <w:left w:val="none" w:sz="0" w:space="0" w:color="auto"/>
        <w:bottom w:val="none" w:sz="0" w:space="0" w:color="auto"/>
        <w:right w:val="none" w:sz="0" w:space="0" w:color="auto"/>
      </w:divBdr>
    </w:div>
    <w:div w:id="11059969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3808703-4287-4784-A648-60C080236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1131</Words>
  <Characters>6450</Characters>
  <Application>Microsoft Office Word</Application>
  <DocSecurity>0</DocSecurity>
  <Lines>53</Lines>
  <Paragraphs>15</Paragraphs>
  <ScaleCrop>false</ScaleCrop>
  <Company>Alcatel-Lucent</Company>
  <LinksUpToDate>false</LinksUpToDate>
  <CharactersWithSpaces>7566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9</cp:revision>
  <dcterms:created xsi:type="dcterms:W3CDTF">2022-11-04T14:59:00Z</dcterms:created>
  <dcterms:modified xsi:type="dcterms:W3CDTF">2022-11-07T14:24:00Z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_2015_ms_pID_725343">
    <vt:lpwstr>(3)ZAvn7e3TtieDBqnmrA9afwPix7mmcr/a1l1x6E6D62Wxbo4TXmfmWrSHWWMywTzRp5j4tqWh
bEYbWUtTRm2HCCeoT4JmWXznRiXAM9stYwTVUnEL0ZzU1hraFpAayzmRTdSg11D+BOR0m7kT
FbrOA8GAUkwlUA4iUkPPbteIEBmgzpcJzMsZWETTyHqaLIfiIGbdxPx8pbZeu4QvbRVGU5Ui
V2ziyiNpV/r3VKmyvI</vt:lpwstr>
  </property>
  <property fmtid="{D5CDD505-2E9C-101B-9397-08002B2CF9AE}" pid="4" name="_2015_ms_pID_7253431">
    <vt:lpwstr>43xy3IFh81FuK6hco49piJQACXqlLxfAceDwy9IQaOcxkp/HHCH+9H
Vcxv57O9jKw4jgrgUo0Vqj/8OUGWjcqBBrU42w0zx8SayUQAYIBrRQfG+aPA44yv5PCMWCxN
1xfjOVyAxjr7IFincCfnDfC+aPQxfkmUOOPRMrS1WqzHu3Pwn+anDBihwA2NyCLtIM6RjzAf
6tVjulitr6q79gvY3PqE6XkEFVM1coySL6zF</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1666775727</vt:lpwstr>
  </property>
  <property fmtid="{D5CDD505-2E9C-101B-9397-08002B2CF9AE}" pid="9" name="_2015_ms_pID_7253432">
    <vt:lpwstr>LQ==</vt:lpwstr>
  </property>
</Properties>
</file>